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6F71EA" w:rsidRPr="00FE6E7F" w:rsidTr="00257934">
        <w:trPr>
          <w:trHeight w:hRule="exact" w:val="851"/>
        </w:trPr>
        <w:tc>
          <w:tcPr>
            <w:tcW w:w="1276" w:type="dxa"/>
            <w:tcBorders>
              <w:bottom w:val="single" w:sz="4" w:space="0" w:color="auto"/>
            </w:tcBorders>
          </w:tcPr>
          <w:p w:rsidR="006F71EA" w:rsidRPr="00DB58B5" w:rsidRDefault="006F71EA" w:rsidP="009367DE">
            <w:bookmarkStart w:id="0" w:name="_GoBack"/>
            <w:bookmarkEnd w:id="0"/>
          </w:p>
        </w:tc>
        <w:tc>
          <w:tcPr>
            <w:tcW w:w="2268" w:type="dxa"/>
            <w:tcBorders>
              <w:bottom w:val="single" w:sz="4" w:space="0" w:color="auto"/>
            </w:tcBorders>
            <w:vAlign w:val="bottom"/>
          </w:tcPr>
          <w:p w:rsidR="006F71EA" w:rsidRPr="00DB58B5" w:rsidRDefault="006F71EA" w:rsidP="00257934">
            <w:pPr>
              <w:spacing w:after="80" w:line="300" w:lineRule="exact"/>
              <w:rPr>
                <w:sz w:val="28"/>
              </w:rPr>
            </w:pPr>
          </w:p>
        </w:tc>
        <w:tc>
          <w:tcPr>
            <w:tcW w:w="6095" w:type="dxa"/>
            <w:gridSpan w:val="2"/>
            <w:tcBorders>
              <w:bottom w:val="single" w:sz="4" w:space="0" w:color="auto"/>
            </w:tcBorders>
            <w:vAlign w:val="bottom"/>
          </w:tcPr>
          <w:p w:rsidR="006F71EA" w:rsidRPr="00093F02" w:rsidRDefault="006F71EA" w:rsidP="00785863">
            <w:pPr>
              <w:jc w:val="right"/>
              <w:rPr>
                <w:lang w:val="en-GB"/>
              </w:rPr>
            </w:pPr>
          </w:p>
        </w:tc>
      </w:tr>
      <w:tr w:rsidR="006F71EA" w:rsidRPr="00DB58B5" w:rsidTr="00257934">
        <w:trPr>
          <w:trHeight w:hRule="exact" w:val="2835"/>
        </w:trPr>
        <w:tc>
          <w:tcPr>
            <w:tcW w:w="1276" w:type="dxa"/>
            <w:tcBorders>
              <w:top w:val="single" w:sz="4" w:space="0" w:color="auto"/>
              <w:bottom w:val="single" w:sz="12" w:space="0" w:color="auto"/>
            </w:tcBorders>
          </w:tcPr>
          <w:p w:rsidR="006F71EA" w:rsidRPr="0022209B" w:rsidRDefault="006F71EA" w:rsidP="0022209B">
            <w:pPr>
              <w:tabs>
                <w:tab w:val="left" w:pos="1139"/>
              </w:tabs>
            </w:pPr>
          </w:p>
        </w:tc>
        <w:tc>
          <w:tcPr>
            <w:tcW w:w="5528" w:type="dxa"/>
            <w:gridSpan w:val="2"/>
            <w:tcBorders>
              <w:top w:val="single" w:sz="4" w:space="0" w:color="auto"/>
              <w:bottom w:val="single" w:sz="12" w:space="0" w:color="auto"/>
            </w:tcBorders>
          </w:tcPr>
          <w:p w:rsidR="006F71EA" w:rsidRPr="00AB51C8" w:rsidRDefault="00013841" w:rsidP="00257934">
            <w:pPr>
              <w:spacing w:before="120" w:line="380" w:lineRule="exact"/>
              <w:rPr>
                <w:b/>
                <w:sz w:val="34"/>
                <w:szCs w:val="34"/>
              </w:rPr>
            </w:pPr>
            <w:r w:rsidRPr="00013841">
              <w:rPr>
                <w:b/>
                <w:sz w:val="34"/>
                <w:szCs w:val="34"/>
              </w:rPr>
              <w:t>Version non éditée</w:t>
            </w:r>
          </w:p>
        </w:tc>
        <w:tc>
          <w:tcPr>
            <w:tcW w:w="2835" w:type="dxa"/>
            <w:tcBorders>
              <w:top w:val="single" w:sz="4" w:space="0" w:color="auto"/>
              <w:bottom w:val="single" w:sz="12" w:space="0" w:color="auto"/>
            </w:tcBorders>
          </w:tcPr>
          <w:p w:rsidR="009349C7" w:rsidRPr="00DB58B5" w:rsidRDefault="009349C7" w:rsidP="009367DE">
            <w:pPr>
              <w:spacing w:line="240" w:lineRule="exact"/>
            </w:pPr>
          </w:p>
        </w:tc>
      </w:tr>
    </w:tbl>
    <w:p w:rsidR="006F71EA" w:rsidRDefault="006F71EA" w:rsidP="006F71EA">
      <w:pPr>
        <w:spacing w:before="120"/>
        <w:rPr>
          <w:b/>
          <w:sz w:val="24"/>
          <w:szCs w:val="24"/>
        </w:rPr>
      </w:pPr>
      <w:r w:rsidRPr="00DF3BF1">
        <w:rPr>
          <w:b/>
          <w:sz w:val="24"/>
          <w:szCs w:val="24"/>
        </w:rPr>
        <w:t>Comité des droits de l</w:t>
      </w:r>
      <w:r w:rsidR="009367DE">
        <w:rPr>
          <w:b/>
          <w:sz w:val="24"/>
          <w:szCs w:val="24"/>
        </w:rPr>
        <w:t>’</w:t>
      </w:r>
      <w:r w:rsidRPr="00DF3BF1">
        <w:rPr>
          <w:b/>
          <w:sz w:val="24"/>
          <w:szCs w:val="24"/>
        </w:rPr>
        <w:t>homme</w:t>
      </w:r>
    </w:p>
    <w:p w:rsidR="009367DE" w:rsidRPr="00426A51" w:rsidRDefault="00A33F24" w:rsidP="006F7144">
      <w:pPr>
        <w:rPr>
          <w:b/>
        </w:rPr>
      </w:pPr>
      <w:r w:rsidRPr="009367DE">
        <w:rPr>
          <w:b/>
          <w:bCs/>
        </w:rPr>
        <w:t>117</w:t>
      </w:r>
      <w:r w:rsidRPr="009367DE">
        <w:rPr>
          <w:b/>
          <w:bCs/>
          <w:vertAlign w:val="superscript"/>
        </w:rPr>
        <w:t>e</w:t>
      </w:r>
      <w:r w:rsidR="009367DE">
        <w:rPr>
          <w:b/>
          <w:bCs/>
        </w:rPr>
        <w:t> </w:t>
      </w:r>
      <w:r w:rsidR="009367DE" w:rsidRPr="00426A51">
        <w:rPr>
          <w:b/>
        </w:rPr>
        <w:t>session</w:t>
      </w:r>
    </w:p>
    <w:p w:rsidR="009367DE" w:rsidRPr="00426A51" w:rsidRDefault="00A33F24" w:rsidP="006F7144">
      <w:r w:rsidRPr="009367DE">
        <w:t>20 juin-15 juillet 2016</w:t>
      </w:r>
    </w:p>
    <w:p w:rsidR="009367DE" w:rsidRPr="00426A51" w:rsidRDefault="009367DE" w:rsidP="006F7144">
      <w:r w:rsidRPr="00426A51">
        <w:t xml:space="preserve">Point </w:t>
      </w:r>
      <w:r>
        <w:t>5</w:t>
      </w:r>
      <w:r w:rsidRPr="00426A51">
        <w:t xml:space="preserve"> de l</w:t>
      </w:r>
      <w:r>
        <w:t>’</w:t>
      </w:r>
      <w:r w:rsidRPr="00426A51">
        <w:t>ordre du jour</w:t>
      </w:r>
    </w:p>
    <w:p w:rsidR="009367DE" w:rsidRPr="00426A51" w:rsidRDefault="009367DE" w:rsidP="006F7144">
      <w:pPr>
        <w:rPr>
          <w:b/>
        </w:rPr>
      </w:pPr>
      <w:r w:rsidRPr="005706F4">
        <w:rPr>
          <w:b/>
          <w:bCs/>
        </w:rPr>
        <w:t>Examen des rapports soumis par les États parties</w:t>
      </w:r>
      <w:r>
        <w:rPr>
          <w:b/>
          <w:bCs/>
        </w:rPr>
        <w:t xml:space="preserve"> </w:t>
      </w:r>
      <w:r w:rsidRPr="005706F4">
        <w:rPr>
          <w:b/>
          <w:bCs/>
        </w:rPr>
        <w:br/>
        <w:t>en application de l</w:t>
      </w:r>
      <w:r>
        <w:rPr>
          <w:b/>
          <w:bCs/>
        </w:rPr>
        <w:t>’</w:t>
      </w:r>
      <w:r w:rsidRPr="005706F4">
        <w:rPr>
          <w:b/>
          <w:bCs/>
        </w:rPr>
        <w:t>article 40 du Pacte</w:t>
      </w:r>
    </w:p>
    <w:p w:rsidR="009367DE" w:rsidRPr="00426A51" w:rsidRDefault="009367DE" w:rsidP="006F7144">
      <w:pPr>
        <w:pStyle w:val="HChG"/>
      </w:pPr>
      <w:r w:rsidRPr="00426A51">
        <w:tab/>
      </w:r>
      <w:r w:rsidRPr="00426A51">
        <w:tab/>
      </w:r>
      <w:r w:rsidR="00A33F24" w:rsidRPr="009367DE">
        <w:t xml:space="preserve">Observations finales concernant le rapport </w:t>
      </w:r>
      <w:r w:rsidR="00785863">
        <w:t>initial</w:t>
      </w:r>
      <w:r w:rsidR="00A33F24" w:rsidRPr="009367DE">
        <w:t xml:space="preserve"> du </w:t>
      </w:r>
      <w:r w:rsidR="00785863">
        <w:t>Burkina Faso</w:t>
      </w:r>
      <w:r w:rsidR="00785863" w:rsidRPr="00974C94">
        <w:rPr>
          <w:rStyle w:val="Appelnotedebasdep"/>
          <w:b w:val="0"/>
          <w:sz w:val="20"/>
          <w:vertAlign w:val="baseline"/>
        </w:rPr>
        <w:t xml:space="preserve"> </w:t>
      </w:r>
      <w:r w:rsidR="00974C94" w:rsidRPr="00974C94">
        <w:rPr>
          <w:rStyle w:val="Appelnotedebasdep"/>
          <w:b w:val="0"/>
          <w:sz w:val="20"/>
          <w:vertAlign w:val="baseline"/>
        </w:rPr>
        <w:footnoteReference w:customMarkFollows="1" w:id="2"/>
        <w:t>*</w:t>
      </w:r>
    </w:p>
    <w:p w:rsidR="009367DE" w:rsidRPr="00426A51" w:rsidRDefault="009367DE" w:rsidP="006F7144">
      <w:pPr>
        <w:pStyle w:val="H1G"/>
      </w:pPr>
      <w:r w:rsidRPr="00426A51">
        <w:tab/>
      </w:r>
      <w:r w:rsidRPr="00426A51">
        <w:tab/>
        <w:t>Projet établi par le Comité</w:t>
      </w:r>
    </w:p>
    <w:p w:rsidR="00785863" w:rsidRPr="00F413AF" w:rsidRDefault="00093F02" w:rsidP="00093F02">
      <w:pPr>
        <w:pStyle w:val="SingleTxtG"/>
        <w:kinsoku/>
        <w:overflowPunct/>
        <w:autoSpaceDE/>
        <w:autoSpaceDN/>
        <w:adjustRightInd/>
        <w:snapToGrid/>
      </w:pPr>
      <w:r w:rsidRPr="00F413AF">
        <w:t>1.</w:t>
      </w:r>
      <w:r w:rsidRPr="00F413AF">
        <w:tab/>
      </w:r>
      <w:r w:rsidR="00785863" w:rsidRPr="00F413AF">
        <w:t>Le Comité des droits de l’homme a examiné le rapport</w:t>
      </w:r>
      <w:r w:rsidR="00785863">
        <w:t xml:space="preserve"> initial du Burkina Faso </w:t>
      </w:r>
      <w:r w:rsidR="00785863" w:rsidRPr="00F413AF">
        <w:t>(CCPR/C/</w:t>
      </w:r>
      <w:r w:rsidR="00785863">
        <w:t>BFA</w:t>
      </w:r>
      <w:r w:rsidR="00785863" w:rsidRPr="00F413AF">
        <w:t>/</w:t>
      </w:r>
      <w:r w:rsidR="00785863">
        <w:t>1</w:t>
      </w:r>
      <w:r w:rsidR="00785863" w:rsidRPr="00F413AF">
        <w:t xml:space="preserve">) à ses </w:t>
      </w:r>
      <w:r w:rsidR="00785863">
        <w:t>3279</w:t>
      </w:r>
      <w:r w:rsidR="00785863" w:rsidRPr="00F413AF">
        <w:rPr>
          <w:vertAlign w:val="superscript"/>
        </w:rPr>
        <w:t>e</w:t>
      </w:r>
      <w:r w:rsidR="00785863" w:rsidRPr="00F413AF">
        <w:t xml:space="preserve"> et </w:t>
      </w:r>
      <w:r w:rsidR="00785863">
        <w:t>3280</w:t>
      </w:r>
      <w:r w:rsidR="00785863" w:rsidRPr="00F413AF">
        <w:rPr>
          <w:vertAlign w:val="superscript"/>
        </w:rPr>
        <w:t>e</w:t>
      </w:r>
      <w:r w:rsidR="00785863" w:rsidRPr="00F413AF">
        <w:t xml:space="preserve"> séances (CCPR/C/SR.</w:t>
      </w:r>
      <w:r w:rsidR="00785863" w:rsidRPr="005357FD">
        <w:t xml:space="preserve"> </w:t>
      </w:r>
      <w:r w:rsidR="00785863">
        <w:t>3279</w:t>
      </w:r>
      <w:r w:rsidR="00785863" w:rsidRPr="00F413AF">
        <w:t xml:space="preserve"> et </w:t>
      </w:r>
      <w:r w:rsidR="00785863">
        <w:t>3280</w:t>
      </w:r>
      <w:r w:rsidR="00785863" w:rsidRPr="00F413AF">
        <w:t xml:space="preserve">), les </w:t>
      </w:r>
      <w:r w:rsidR="00785863">
        <w:t>28 et 29 Juin 2016</w:t>
      </w:r>
      <w:r w:rsidR="00785863" w:rsidRPr="00F413AF">
        <w:t xml:space="preserve">. À sa </w:t>
      </w:r>
      <w:r w:rsidR="00785863">
        <w:t>3294</w:t>
      </w:r>
      <w:r w:rsidR="00785863" w:rsidRPr="00F413AF">
        <w:rPr>
          <w:vertAlign w:val="superscript"/>
        </w:rPr>
        <w:t>e</w:t>
      </w:r>
      <w:r w:rsidR="00785863" w:rsidRPr="00F413AF">
        <w:t xml:space="preserve"> séance</w:t>
      </w:r>
      <w:r w:rsidR="00785863">
        <w:t xml:space="preserve"> </w:t>
      </w:r>
      <w:r w:rsidR="00785863" w:rsidRPr="00F413AF">
        <w:t>(CCPR/C/SR.</w:t>
      </w:r>
      <w:r w:rsidR="00785863" w:rsidRPr="005357FD">
        <w:t xml:space="preserve"> </w:t>
      </w:r>
      <w:r w:rsidR="00785863">
        <w:t>3294)</w:t>
      </w:r>
      <w:r w:rsidR="00785863" w:rsidRPr="00F413AF">
        <w:t xml:space="preserve">, le </w:t>
      </w:r>
      <w:r w:rsidR="00785863">
        <w:t>11 juillet 2016</w:t>
      </w:r>
      <w:r w:rsidR="00785863" w:rsidRPr="00F413AF">
        <w:t>, il a adopté les observations finales ci-après.</w:t>
      </w:r>
    </w:p>
    <w:p w:rsidR="00785863" w:rsidRPr="004D11B4" w:rsidRDefault="00785863" w:rsidP="00785863">
      <w:pPr>
        <w:pStyle w:val="H1G"/>
      </w:pPr>
      <w:r w:rsidRPr="004D11B4">
        <w:tab/>
        <w:t>A.</w:t>
      </w:r>
      <w:r w:rsidRPr="004D11B4">
        <w:tab/>
        <w:t>Introduction</w:t>
      </w:r>
    </w:p>
    <w:p w:rsidR="00785863" w:rsidRPr="007F291A" w:rsidRDefault="00093F02" w:rsidP="00093F02">
      <w:pPr>
        <w:pStyle w:val="SingleTxtG"/>
        <w:kinsoku/>
        <w:overflowPunct/>
        <w:autoSpaceDE/>
        <w:autoSpaceDN/>
        <w:adjustRightInd/>
        <w:snapToGrid/>
      </w:pPr>
      <w:r w:rsidRPr="007F291A">
        <w:t>2.</w:t>
      </w:r>
      <w:r w:rsidRPr="007F291A">
        <w:tab/>
      </w:r>
      <w:r w:rsidR="00785863" w:rsidRPr="007F291A">
        <w:t>Le Comité des droits de l’homme accueille avec satisfaction le rapport</w:t>
      </w:r>
      <w:r w:rsidR="00785863">
        <w:t xml:space="preserve"> initial</w:t>
      </w:r>
      <w:r w:rsidR="00785863" w:rsidRPr="007F291A">
        <w:t xml:space="preserve"> du </w:t>
      </w:r>
      <w:r w:rsidR="00785863">
        <w:t>Burkina Faso, soumis avec 14 ans de retard,</w:t>
      </w:r>
      <w:r w:rsidR="00785863" w:rsidRPr="007F291A">
        <w:t xml:space="preserve"> et les </w:t>
      </w:r>
      <w:r w:rsidR="00785863">
        <w:t>informations qu’il contient</w:t>
      </w:r>
      <w:r w:rsidR="00785863" w:rsidRPr="007F291A">
        <w:t xml:space="preserve">. Le Comité apprécie l’opportunité </w:t>
      </w:r>
      <w:r w:rsidR="00785863">
        <w:t xml:space="preserve">qui lui a été offerte </w:t>
      </w:r>
      <w:r w:rsidR="00785863" w:rsidRPr="007F291A">
        <w:t>d’engager un dialogue constructif avec la délégation de</w:t>
      </w:r>
      <w:r w:rsidR="00785863" w:rsidRPr="003E2A95">
        <w:rPr>
          <w:color w:val="FF0000"/>
        </w:rPr>
        <w:t xml:space="preserve"> </w:t>
      </w:r>
      <w:r w:rsidR="00785863" w:rsidRPr="003D14B4">
        <w:t>haut niveau de</w:t>
      </w:r>
      <w:r w:rsidR="00785863" w:rsidRPr="007F291A">
        <w:t xml:space="preserve"> l’État partie </w:t>
      </w:r>
      <w:r w:rsidR="00785863">
        <w:rPr>
          <w:lang w:val="fr-FR"/>
        </w:rPr>
        <w:t>sur le</w:t>
      </w:r>
      <w:r w:rsidR="00785863" w:rsidRPr="007F291A">
        <w:rPr>
          <w:lang w:val="fr-FR"/>
        </w:rPr>
        <w:t>s mesures prises</w:t>
      </w:r>
      <w:r w:rsidR="00785863">
        <w:rPr>
          <w:lang w:val="fr-FR"/>
        </w:rPr>
        <w:t xml:space="preserve"> par celui-ci</w:t>
      </w:r>
      <w:r w:rsidR="00785863" w:rsidRPr="007F291A">
        <w:rPr>
          <w:lang w:val="fr-FR"/>
        </w:rPr>
        <w:t xml:space="preserve"> pour </w:t>
      </w:r>
      <w:r w:rsidR="00785863">
        <w:rPr>
          <w:lang w:val="fr-FR"/>
        </w:rPr>
        <w:t xml:space="preserve">donner effet aux </w:t>
      </w:r>
      <w:r w:rsidR="00785863" w:rsidRPr="007F291A">
        <w:rPr>
          <w:lang w:val="fr-FR"/>
        </w:rPr>
        <w:t>dispositions du Pacte</w:t>
      </w:r>
      <w:r w:rsidR="00785863" w:rsidRPr="007F291A">
        <w:t>. Le Comité remercie l’État partie de</w:t>
      </w:r>
      <w:r w:rsidR="00785863">
        <w:t xml:space="preserve"> se</w:t>
      </w:r>
      <w:r w:rsidR="00785863" w:rsidRPr="007F291A">
        <w:t>s réponses écrites (CCPR/C/</w:t>
      </w:r>
      <w:r w:rsidR="00785863">
        <w:t>BFA/Q/1/Add.1</w:t>
      </w:r>
      <w:r w:rsidR="00785863" w:rsidRPr="007F291A">
        <w:t>) à la liste de points (CCPR/C/</w:t>
      </w:r>
      <w:r w:rsidR="00785863">
        <w:t>BFA</w:t>
      </w:r>
      <w:r w:rsidR="00785863" w:rsidRPr="007F291A">
        <w:t>/Q/</w:t>
      </w:r>
      <w:r w:rsidR="00785863">
        <w:t>1</w:t>
      </w:r>
      <w:r w:rsidR="00785863" w:rsidRPr="007F291A">
        <w:t xml:space="preserve">) et qui ont été complétées </w:t>
      </w:r>
      <w:r w:rsidR="00785863">
        <w:t xml:space="preserve">par les réponses données </w:t>
      </w:r>
      <w:r w:rsidR="00785863" w:rsidRPr="007F291A">
        <w:t>oralement par la délégatio</w:t>
      </w:r>
      <w:r w:rsidR="00785863">
        <w:t>n lors du dialogue</w:t>
      </w:r>
      <w:r w:rsidR="00785863" w:rsidRPr="007F291A">
        <w:t xml:space="preserve"> </w:t>
      </w:r>
      <w:r w:rsidR="00785863" w:rsidRPr="00FF1CAB">
        <w:rPr>
          <w:lang w:val="fr-FR"/>
        </w:rPr>
        <w:t>ainsi que des informations supplémentaires qu’il lui a fournies par écrit</w:t>
      </w:r>
      <w:r w:rsidR="00785863" w:rsidRPr="007F291A">
        <w:rPr>
          <w:lang w:val="fr-FR"/>
        </w:rPr>
        <w:t>.</w:t>
      </w:r>
    </w:p>
    <w:p w:rsidR="00785863" w:rsidRPr="004D11B4" w:rsidRDefault="00785863" w:rsidP="00785863">
      <w:pPr>
        <w:pStyle w:val="H1G"/>
      </w:pPr>
      <w:r w:rsidRPr="004D11B4">
        <w:tab/>
        <w:t>B.</w:t>
      </w:r>
      <w:r w:rsidRPr="004D11B4">
        <w:tab/>
        <w:t>Aspects positifs</w:t>
      </w:r>
    </w:p>
    <w:p w:rsidR="00785863" w:rsidRDefault="00093F02" w:rsidP="00093F02">
      <w:pPr>
        <w:pStyle w:val="SingleTxtG"/>
        <w:kinsoku/>
        <w:overflowPunct/>
        <w:autoSpaceDE/>
        <w:autoSpaceDN/>
        <w:adjustRightInd/>
        <w:snapToGrid/>
      </w:pPr>
      <w:r>
        <w:t>3.</w:t>
      </w:r>
      <w:r>
        <w:tab/>
      </w:r>
      <w:r w:rsidR="00785863" w:rsidRPr="00F413AF">
        <w:t xml:space="preserve">Le Comité </w:t>
      </w:r>
      <w:r w:rsidR="00785863">
        <w:t xml:space="preserve">salue les mesures législatives et institutionnelles prises par </w:t>
      </w:r>
      <w:r w:rsidR="00785863" w:rsidRPr="007F291A">
        <w:rPr>
          <w:lang w:val="fr-FR"/>
        </w:rPr>
        <w:t>l’État partie</w:t>
      </w:r>
      <w:r w:rsidR="00785863">
        <w:t>, notamment</w:t>
      </w:r>
      <w:r w:rsidR="00785863" w:rsidRPr="00F413AF">
        <w:t>:</w:t>
      </w:r>
    </w:p>
    <w:p w:rsidR="00785863" w:rsidRDefault="00093F02" w:rsidP="00093F02">
      <w:pPr>
        <w:pStyle w:val="SingleTxtG"/>
        <w:kinsoku/>
        <w:overflowPunct/>
        <w:autoSpaceDE/>
        <w:autoSpaceDN/>
        <w:adjustRightInd/>
        <w:snapToGrid/>
        <w:ind w:firstLine="567"/>
        <w:jc w:val="left"/>
      </w:pPr>
      <w:r>
        <w:t>a)</w:t>
      </w:r>
      <w:r>
        <w:tab/>
      </w:r>
      <w:r w:rsidR="00785863">
        <w:t>L’adoption  de la politique nationale de justice (2010-2019) et du Pacte national pour le renouveau de la justice le 28 mars 2015;</w:t>
      </w:r>
    </w:p>
    <w:p w:rsidR="00785863" w:rsidRDefault="00093F02" w:rsidP="00093F02">
      <w:pPr>
        <w:pStyle w:val="SingleTxtG"/>
        <w:kinsoku/>
        <w:overflowPunct/>
        <w:autoSpaceDE/>
        <w:autoSpaceDN/>
        <w:adjustRightInd/>
        <w:snapToGrid/>
        <w:ind w:firstLine="567"/>
        <w:jc w:val="left"/>
      </w:pPr>
      <w:r>
        <w:lastRenderedPageBreak/>
        <w:t>b)</w:t>
      </w:r>
      <w:r>
        <w:tab/>
      </w:r>
      <w:r w:rsidR="00785863">
        <w:t>L’adoption de la Loi No 22-2014/AN du 27 mai 2014 portant prévention et répression de la torture et des pratiques assimilées qui prévoit également la mise en place d’un observatoire nationale de prévention de la torture et autres pratiques assimilées</w:t>
      </w:r>
      <w:r w:rsidR="00785863" w:rsidRPr="00F413AF">
        <w:t>;</w:t>
      </w:r>
    </w:p>
    <w:p w:rsidR="00785863" w:rsidRDefault="00093F02" w:rsidP="00093F02">
      <w:pPr>
        <w:pStyle w:val="SingleTxtG"/>
        <w:kinsoku/>
        <w:overflowPunct/>
        <w:autoSpaceDE/>
        <w:autoSpaceDN/>
        <w:adjustRightInd/>
        <w:snapToGrid/>
        <w:ind w:firstLine="567"/>
        <w:jc w:val="left"/>
      </w:pPr>
      <w:r>
        <w:t>c)</w:t>
      </w:r>
      <w:r>
        <w:tab/>
      </w:r>
      <w:r w:rsidR="00785863">
        <w:t xml:space="preserve">L’adoption de la Loi No 061-2015/CNT du 6 septembre 2015 portant prévention, répression et réparation des violences à l’égard des femmes et des filles et prise en charge des victimes et l’adoption en octobre 2015 d’une Feuille de route pour le retrait et la réinsertion des personnes exclues </w:t>
      </w:r>
      <w:r w:rsidR="00770554">
        <w:t xml:space="preserve">par </w:t>
      </w:r>
      <w:r w:rsidR="00785863">
        <w:t xml:space="preserve">allégation de sorcellerie; </w:t>
      </w:r>
    </w:p>
    <w:p w:rsidR="00785863" w:rsidRDefault="00093F02" w:rsidP="00093F02">
      <w:pPr>
        <w:pStyle w:val="SingleTxtG"/>
        <w:kinsoku/>
        <w:overflowPunct/>
        <w:autoSpaceDE/>
        <w:autoSpaceDN/>
        <w:adjustRightInd/>
        <w:snapToGrid/>
        <w:ind w:firstLine="567"/>
        <w:jc w:val="left"/>
      </w:pPr>
      <w:r>
        <w:t>d)</w:t>
      </w:r>
      <w:r>
        <w:tab/>
      </w:r>
      <w:r w:rsidR="00785863">
        <w:t>L’adoption de la Loi no. 015-2014/AN du 13 mai 2014 portant protection de l’enfant en conflit avec la loi ou en danger ;</w:t>
      </w:r>
    </w:p>
    <w:p w:rsidR="00785863" w:rsidRDefault="00093F02" w:rsidP="00093F02">
      <w:pPr>
        <w:pStyle w:val="SingleTxtG"/>
        <w:kinsoku/>
        <w:overflowPunct/>
        <w:autoSpaceDE/>
        <w:autoSpaceDN/>
        <w:adjustRightInd/>
        <w:snapToGrid/>
        <w:ind w:firstLine="567"/>
        <w:jc w:val="left"/>
      </w:pPr>
      <w:r>
        <w:t>e)</w:t>
      </w:r>
      <w:r>
        <w:tab/>
      </w:r>
      <w:r w:rsidR="00785863">
        <w:t xml:space="preserve">L’adoption en novembre 2015 de la Stratégie nationale de </w:t>
      </w:r>
      <w:r w:rsidR="00657913">
        <w:t>p</w:t>
      </w:r>
      <w:r w:rsidR="00785863">
        <w:t xml:space="preserve">révention et d’élimination du mariage d’enfants </w:t>
      </w:r>
      <w:r w:rsidR="00770554">
        <w:t>(</w:t>
      </w:r>
      <w:r w:rsidR="00785863">
        <w:t>2016-2025</w:t>
      </w:r>
      <w:r w:rsidR="00770554">
        <w:t>)</w:t>
      </w:r>
      <w:r w:rsidR="00785863">
        <w:t> ;</w:t>
      </w:r>
    </w:p>
    <w:p w:rsidR="00785863" w:rsidRDefault="00093F02" w:rsidP="00093F02">
      <w:pPr>
        <w:pStyle w:val="SingleTxtG"/>
        <w:kinsoku/>
        <w:overflowPunct/>
        <w:autoSpaceDE/>
        <w:autoSpaceDN/>
        <w:adjustRightInd/>
        <w:snapToGrid/>
        <w:ind w:firstLine="567"/>
        <w:jc w:val="left"/>
      </w:pPr>
      <w:r>
        <w:t>f)</w:t>
      </w:r>
      <w:r>
        <w:tab/>
      </w:r>
      <w:r w:rsidR="00785863">
        <w:t>L’adoption de diverses mesures pour lutter contre le phénomène du travail des enfants, notamment l’adoption d’un  Programme national de lutte contre le travail des enfants dans les sites d’orpaillage et carrières artisanales au Burkina Faso (2015-2019) ;</w:t>
      </w:r>
    </w:p>
    <w:p w:rsidR="00785863" w:rsidRDefault="00093F02" w:rsidP="00093F02">
      <w:pPr>
        <w:pStyle w:val="SingleTxtG"/>
        <w:kinsoku/>
        <w:overflowPunct/>
        <w:autoSpaceDE/>
        <w:autoSpaceDN/>
        <w:adjustRightInd/>
        <w:snapToGrid/>
        <w:ind w:firstLine="567"/>
        <w:jc w:val="left"/>
      </w:pPr>
      <w:r>
        <w:t>g)</w:t>
      </w:r>
      <w:r>
        <w:tab/>
      </w:r>
      <w:r w:rsidR="00785863">
        <w:t>La dépénalisation des délits de presse en 2015 ;</w:t>
      </w:r>
    </w:p>
    <w:p w:rsidR="00785863" w:rsidRDefault="00093F02" w:rsidP="00093F02">
      <w:pPr>
        <w:pStyle w:val="SingleTxtG"/>
        <w:kinsoku/>
        <w:overflowPunct/>
        <w:autoSpaceDE/>
        <w:autoSpaceDN/>
        <w:adjustRightInd/>
        <w:snapToGrid/>
        <w:ind w:firstLine="567"/>
        <w:jc w:val="left"/>
      </w:pPr>
      <w:r>
        <w:t>h)</w:t>
      </w:r>
      <w:r>
        <w:tab/>
      </w:r>
      <w:r w:rsidR="00785863">
        <w:t>La création de l’Observatoire national de prévention et gestion des conflits communautaires en 2015.</w:t>
      </w:r>
    </w:p>
    <w:p w:rsidR="003A06E3" w:rsidRPr="00F413AF" w:rsidRDefault="003A06E3" w:rsidP="003A06E3">
      <w:pPr>
        <w:pStyle w:val="SingleTxtG"/>
      </w:pPr>
      <w:r>
        <w:t>4.</w:t>
      </w:r>
      <w:r>
        <w:tab/>
      </w:r>
      <w:r w:rsidRPr="00F413AF">
        <w:t xml:space="preserve">Le Comité </w:t>
      </w:r>
      <w:r>
        <w:t xml:space="preserve">accueille avec satisfaction la ratification des instruments internationaux </w:t>
      </w:r>
      <w:r w:rsidRPr="00F413AF">
        <w:t>suivants :</w:t>
      </w:r>
      <w:r>
        <w:t xml:space="preserve"> </w:t>
      </w:r>
    </w:p>
    <w:p w:rsidR="003A06E3" w:rsidRPr="00733463" w:rsidRDefault="003A06E3" w:rsidP="00733463">
      <w:pPr>
        <w:pStyle w:val="SingleTxtG"/>
        <w:numPr>
          <w:ilvl w:val="0"/>
          <w:numId w:val="42"/>
        </w:numPr>
        <w:kinsoku/>
        <w:overflowPunct/>
        <w:autoSpaceDE/>
        <w:autoSpaceDN/>
        <w:adjustRightInd/>
        <w:snapToGrid/>
        <w:ind w:left="1701" w:firstLine="0"/>
      </w:pPr>
      <w:r w:rsidRPr="00733463">
        <w:tab/>
        <w:t>La</w:t>
      </w:r>
      <w:r w:rsidRPr="00733463">
        <w:rPr>
          <w:lang w:val="fr-FR"/>
        </w:rPr>
        <w:t xml:space="preserve"> Convention relative aux droits des personnes handicapées et son Protocole facultatif, en 2009 ; </w:t>
      </w:r>
    </w:p>
    <w:p w:rsidR="003A06E3" w:rsidRPr="00733463" w:rsidRDefault="003A06E3" w:rsidP="00733463">
      <w:pPr>
        <w:pStyle w:val="SingleTxtG"/>
        <w:numPr>
          <w:ilvl w:val="0"/>
          <w:numId w:val="42"/>
        </w:numPr>
        <w:kinsoku/>
        <w:overflowPunct/>
        <w:autoSpaceDE/>
        <w:autoSpaceDN/>
        <w:adjustRightInd/>
        <w:snapToGrid/>
        <w:ind w:left="1701" w:firstLine="0"/>
      </w:pPr>
      <w:r w:rsidRPr="00733463">
        <w:t>La</w:t>
      </w:r>
      <w:r w:rsidRPr="00733463">
        <w:rPr>
          <w:lang w:val="fr-FR"/>
        </w:rPr>
        <w:t xml:space="preserve"> Convention internationale pour la protection de toutes les personnes contre les disparitions forcées, en 2009 ; </w:t>
      </w:r>
    </w:p>
    <w:p w:rsidR="003A06E3" w:rsidRPr="00733463" w:rsidRDefault="003A06E3" w:rsidP="00733463">
      <w:pPr>
        <w:pStyle w:val="SingleTxtG"/>
        <w:numPr>
          <w:ilvl w:val="0"/>
          <w:numId w:val="42"/>
        </w:numPr>
        <w:kinsoku/>
        <w:overflowPunct/>
        <w:autoSpaceDE/>
        <w:autoSpaceDN/>
        <w:adjustRightInd/>
        <w:snapToGrid/>
        <w:ind w:left="1701" w:firstLine="0"/>
      </w:pPr>
      <w:r w:rsidRPr="00733463">
        <w:t>La Convention internationale sur la protection des droits de tous les travailleurs migrants et des membres de leur famille, en 2003 ;</w:t>
      </w:r>
    </w:p>
    <w:p w:rsidR="003A06E3" w:rsidRPr="00733463" w:rsidRDefault="003A06E3" w:rsidP="00733463">
      <w:pPr>
        <w:pStyle w:val="SingleTxtG"/>
        <w:numPr>
          <w:ilvl w:val="0"/>
          <w:numId w:val="42"/>
        </w:numPr>
        <w:kinsoku/>
        <w:overflowPunct/>
        <w:autoSpaceDE/>
        <w:autoSpaceDN/>
        <w:adjustRightInd/>
        <w:snapToGrid/>
        <w:ind w:left="1701" w:firstLine="0"/>
      </w:pPr>
      <w:r w:rsidRPr="00733463">
        <w:t>La</w:t>
      </w:r>
      <w:r w:rsidRPr="00733463">
        <w:rPr>
          <w:lang w:val="fr-FR"/>
        </w:rPr>
        <w:t xml:space="preserve"> Convention relative aux droits de l’enfant en 1990, et ses Protocoles facultatifs concernant la vente d’enfants, la prostitution des enfants et la pornographie mettant en scène des enfants, et concernant l’implication d’enfants dans les conflits armés, en 2006 et 2007, respectivement ; </w:t>
      </w:r>
    </w:p>
    <w:p w:rsidR="003A06E3" w:rsidRPr="00733463" w:rsidRDefault="003A06E3" w:rsidP="00733463">
      <w:pPr>
        <w:pStyle w:val="SingleTxtG"/>
        <w:numPr>
          <w:ilvl w:val="0"/>
          <w:numId w:val="42"/>
        </w:numPr>
        <w:kinsoku/>
        <w:overflowPunct/>
        <w:autoSpaceDE/>
        <w:autoSpaceDN/>
        <w:adjustRightInd/>
        <w:snapToGrid/>
        <w:ind w:left="1701" w:firstLine="0"/>
      </w:pPr>
      <w:r w:rsidRPr="00733463">
        <w:t>La</w:t>
      </w:r>
      <w:r w:rsidRPr="00733463">
        <w:rPr>
          <w:lang w:val="fr-FR"/>
        </w:rPr>
        <w:t xml:space="preserve"> Convention sur l’élimination de toutes formes de discrimination à l’égard des femmes, en 1987, et son Protocole facultatif, en 2005 ; </w:t>
      </w:r>
    </w:p>
    <w:p w:rsidR="003A06E3" w:rsidRPr="00733463" w:rsidRDefault="003A06E3" w:rsidP="00733463">
      <w:pPr>
        <w:pStyle w:val="SingleTxtG"/>
        <w:numPr>
          <w:ilvl w:val="0"/>
          <w:numId w:val="42"/>
        </w:numPr>
        <w:kinsoku/>
        <w:overflowPunct/>
        <w:autoSpaceDE/>
        <w:autoSpaceDN/>
        <w:adjustRightInd/>
        <w:snapToGrid/>
        <w:ind w:left="1701" w:firstLine="0"/>
      </w:pPr>
      <w:r w:rsidRPr="00733463">
        <w:t>La</w:t>
      </w:r>
      <w:r w:rsidRPr="00733463">
        <w:rPr>
          <w:lang w:val="fr-FR"/>
        </w:rPr>
        <w:t xml:space="preserve"> Convention contre la torture et autres peines ou traitements cruels, inhumains ou dégradants, en 1999 et son Protocole facultatif, en 2010 ; </w:t>
      </w:r>
    </w:p>
    <w:p w:rsidR="003A06E3" w:rsidRPr="00733463" w:rsidRDefault="003A06E3" w:rsidP="00733463">
      <w:pPr>
        <w:pStyle w:val="SingleTxtG"/>
        <w:numPr>
          <w:ilvl w:val="0"/>
          <w:numId w:val="42"/>
        </w:numPr>
        <w:kinsoku/>
        <w:overflowPunct/>
        <w:autoSpaceDE/>
        <w:autoSpaceDN/>
        <w:adjustRightInd/>
        <w:snapToGrid/>
        <w:ind w:left="1701" w:firstLine="0"/>
      </w:pPr>
      <w:r w:rsidRPr="00733463">
        <w:rPr>
          <w:lang w:val="fr-FR"/>
        </w:rPr>
        <w:t>Le Pacte international relatif aux droits économiques, sociaux et culturels, en 1999 ;</w:t>
      </w:r>
    </w:p>
    <w:p w:rsidR="003A06E3" w:rsidRPr="00733463" w:rsidRDefault="003A06E3" w:rsidP="00093F02">
      <w:pPr>
        <w:pStyle w:val="SingleTxtG"/>
        <w:numPr>
          <w:ilvl w:val="0"/>
          <w:numId w:val="42"/>
        </w:numPr>
        <w:kinsoku/>
        <w:overflowPunct/>
        <w:autoSpaceDE/>
        <w:autoSpaceDN/>
        <w:adjustRightInd/>
        <w:snapToGrid/>
        <w:ind w:left="1701" w:firstLine="0"/>
      </w:pPr>
      <w:r w:rsidRPr="00733463">
        <w:t>La</w:t>
      </w:r>
      <w:r w:rsidRPr="00415BEC">
        <w:rPr>
          <w:lang w:val="fr-FR"/>
        </w:rPr>
        <w:t xml:space="preserve"> Convention internationale sur l'élimination de toutes les formes de d</w:t>
      </w:r>
      <w:r w:rsidR="005F4F96" w:rsidRPr="00415BEC">
        <w:rPr>
          <w:lang w:val="fr-FR"/>
        </w:rPr>
        <w:t>iscrimination raciale, en 1974.</w:t>
      </w:r>
    </w:p>
    <w:p w:rsidR="00785863" w:rsidRPr="006A3154" w:rsidRDefault="00785863" w:rsidP="00785863">
      <w:pPr>
        <w:pStyle w:val="H1G"/>
      </w:pPr>
      <w:r>
        <w:tab/>
      </w:r>
      <w:r w:rsidRPr="006A3154">
        <w:t>C.</w:t>
      </w:r>
      <w:r w:rsidRPr="006A3154">
        <w:tab/>
        <w:t xml:space="preserve">Principaux sujets de préoccupation et recommandations </w:t>
      </w:r>
    </w:p>
    <w:p w:rsidR="00785863" w:rsidRPr="006A3154" w:rsidRDefault="00785863" w:rsidP="00785863">
      <w:pPr>
        <w:pStyle w:val="H23G"/>
      </w:pPr>
      <w:r w:rsidRPr="006A3154">
        <w:tab/>
      </w:r>
      <w:r w:rsidRPr="006A3154">
        <w:tab/>
        <w:t xml:space="preserve">Applicabilité du Pacte par les tribunaux nationaux </w:t>
      </w:r>
    </w:p>
    <w:p w:rsidR="00785863" w:rsidRPr="006A3154" w:rsidRDefault="00093F02" w:rsidP="00093F02">
      <w:pPr>
        <w:pStyle w:val="SingleTxtG"/>
        <w:kinsoku/>
        <w:overflowPunct/>
        <w:autoSpaceDE/>
        <w:autoSpaceDN/>
        <w:adjustRightInd/>
        <w:snapToGrid/>
      </w:pPr>
      <w:r w:rsidRPr="006A3154">
        <w:t>5.</w:t>
      </w:r>
      <w:r w:rsidRPr="006A3154">
        <w:tab/>
      </w:r>
      <w:r w:rsidR="00785863" w:rsidRPr="006A3154">
        <w:t xml:space="preserve">Le Comité note que l’article 151 de la Constitution burkinabé consacre la primauté des traités internationaux sur la législation interne et constate que </w:t>
      </w:r>
      <w:r w:rsidR="00785863" w:rsidRPr="006A3154">
        <w:rPr>
          <w:bCs/>
        </w:rPr>
        <w:t xml:space="preserve">le Pacte fait partie intégrante du droit interne et que ses dispositions peuvent être directement invoquées </w:t>
      </w:r>
      <w:r w:rsidR="00785863" w:rsidRPr="006A3154">
        <w:rPr>
          <w:bCs/>
        </w:rPr>
        <w:lastRenderedPageBreak/>
        <w:t xml:space="preserve">devant les tribunaux. </w:t>
      </w:r>
      <w:r w:rsidR="00785863" w:rsidRPr="006A3154">
        <w:t xml:space="preserve">Le Comité regrette </w:t>
      </w:r>
      <w:r w:rsidR="00785863">
        <w:t xml:space="preserve">néanmoins </w:t>
      </w:r>
      <w:r w:rsidR="00785863" w:rsidRPr="006A3154">
        <w:t xml:space="preserve">que les dispositions du Pacte n’ont été que rarement invoquées ou appliquées directement par les tribunaux et </w:t>
      </w:r>
      <w:r w:rsidR="00785863" w:rsidRPr="006A3154">
        <w:rPr>
          <w:bCs/>
        </w:rPr>
        <w:t xml:space="preserve">qu’une seule affaire a été </w:t>
      </w:r>
      <w:r w:rsidR="00770554">
        <w:rPr>
          <w:bCs/>
        </w:rPr>
        <w:t>soumise</w:t>
      </w:r>
      <w:r w:rsidR="00770554" w:rsidRPr="006A3154">
        <w:rPr>
          <w:bCs/>
        </w:rPr>
        <w:t xml:space="preserve"> </w:t>
      </w:r>
      <w:r w:rsidR="00785863" w:rsidRPr="006A3154">
        <w:rPr>
          <w:bCs/>
        </w:rPr>
        <w:t xml:space="preserve">en vertu du premier Protocole facultatif depuis 1999, ce qui pourrait </w:t>
      </w:r>
      <w:r w:rsidR="00F47FA7">
        <w:rPr>
          <w:bCs/>
        </w:rPr>
        <w:t xml:space="preserve">illustrer </w:t>
      </w:r>
      <w:r w:rsidR="00785863" w:rsidRPr="006A3154">
        <w:rPr>
          <w:bCs/>
        </w:rPr>
        <w:t xml:space="preserve">un manque de connaissance du Pacte et de son Protocol facultatif </w:t>
      </w:r>
      <w:r w:rsidR="00785863" w:rsidRPr="006A3154">
        <w:t xml:space="preserve">(art. 2). </w:t>
      </w:r>
    </w:p>
    <w:p w:rsidR="00785863" w:rsidRPr="006A3154" w:rsidRDefault="00093F02" w:rsidP="00093F02">
      <w:pPr>
        <w:pStyle w:val="SingleTxtG"/>
        <w:kinsoku/>
        <w:overflowPunct/>
        <w:autoSpaceDE/>
        <w:autoSpaceDN/>
        <w:adjustRightInd/>
        <w:snapToGrid/>
        <w:rPr>
          <w:b/>
          <w:bCs/>
        </w:rPr>
      </w:pPr>
      <w:r w:rsidRPr="006A3154">
        <w:rPr>
          <w:bCs/>
        </w:rPr>
        <w:t>6.</w:t>
      </w:r>
      <w:r w:rsidRPr="006A3154">
        <w:rPr>
          <w:bCs/>
        </w:rPr>
        <w:tab/>
      </w:r>
      <w:r w:rsidR="00785863" w:rsidRPr="006A3154">
        <w:rPr>
          <w:b/>
          <w:bCs/>
        </w:rPr>
        <w:t xml:space="preserve">L’État partie devrait prendre des mesures pour continuer à sensibiliser les juges, les avocats, les procureurs et autres agents d’application de la loi, </w:t>
      </w:r>
      <w:r w:rsidR="00785863">
        <w:rPr>
          <w:b/>
          <w:bCs/>
        </w:rPr>
        <w:t>aux dispositions du Pacte de sorte que celles-ci soient prises en compte devant et par les tribunaux nationaux</w:t>
      </w:r>
      <w:r w:rsidR="00785863" w:rsidRPr="006A3154">
        <w:rPr>
          <w:b/>
          <w:bCs/>
        </w:rPr>
        <w:t xml:space="preserve">. </w:t>
      </w:r>
    </w:p>
    <w:p w:rsidR="00785863" w:rsidRPr="006A3154" w:rsidRDefault="00785863" w:rsidP="00785863">
      <w:pPr>
        <w:pStyle w:val="H23G"/>
        <w:tabs>
          <w:tab w:val="clear" w:pos="851"/>
        </w:tabs>
        <w:ind w:firstLine="0"/>
      </w:pPr>
      <w:r w:rsidRPr="006A3154">
        <w:t>Commission nationale des droits humains</w:t>
      </w:r>
    </w:p>
    <w:p w:rsidR="00785863" w:rsidRPr="006A3154" w:rsidRDefault="00093F02" w:rsidP="00093F02">
      <w:pPr>
        <w:pStyle w:val="SingleTxtG"/>
        <w:kinsoku/>
        <w:overflowPunct/>
        <w:autoSpaceDE/>
        <w:autoSpaceDN/>
        <w:adjustRightInd/>
        <w:snapToGrid/>
      </w:pPr>
      <w:r w:rsidRPr="006A3154">
        <w:t>7.</w:t>
      </w:r>
      <w:r w:rsidRPr="006A3154">
        <w:tab/>
      </w:r>
      <w:r w:rsidR="00785863" w:rsidRPr="006A3154">
        <w:t>Le Comité salue l’élargissement le 24 mars 2016 des attributions de la Commission nationale des droits humains, renforçan</w:t>
      </w:r>
      <w:r w:rsidR="00415BEC">
        <w:t>t l’indépendance de ses membres</w:t>
      </w:r>
      <w:r w:rsidR="00785863" w:rsidRPr="006A3154">
        <w:t xml:space="preserve"> et lui octroyant une autonomie de fonctionnement et de financement, mais il </w:t>
      </w:r>
      <w:r w:rsidR="00785863">
        <w:t>regrette que</w:t>
      </w:r>
      <w:r w:rsidR="00785863" w:rsidRPr="006A3154">
        <w:t xml:space="preserve"> le décret portant organisation et fonctionnement de </w:t>
      </w:r>
      <w:r w:rsidR="00785863">
        <w:t>cette institution n’ait pas encore été adopté</w:t>
      </w:r>
      <w:r w:rsidR="00785863" w:rsidRPr="006A3154">
        <w:t> (art. 2).</w:t>
      </w:r>
    </w:p>
    <w:p w:rsidR="00785863" w:rsidRDefault="00093F02" w:rsidP="00093F02">
      <w:pPr>
        <w:pStyle w:val="SingleTxtG"/>
        <w:kinsoku/>
        <w:overflowPunct/>
        <w:autoSpaceDE/>
        <w:autoSpaceDN/>
        <w:adjustRightInd/>
        <w:snapToGrid/>
        <w:rPr>
          <w:b/>
          <w:bCs/>
        </w:rPr>
      </w:pPr>
      <w:r>
        <w:rPr>
          <w:bCs/>
        </w:rPr>
        <w:t>8.</w:t>
      </w:r>
      <w:r>
        <w:rPr>
          <w:bCs/>
        </w:rPr>
        <w:tab/>
      </w:r>
      <w:r w:rsidR="00785863" w:rsidRPr="006A3154">
        <w:rPr>
          <w:b/>
          <w:bCs/>
        </w:rPr>
        <w:t>L’État partie est encouragé à adopter sans plus attendre le décret portant organisation et fonctionnement de la Commission nationale des droits humains, nommer ses nouveaux membres, garantir son indépendance et la doter d’une autonomie financière et de ressources suffisantes lui permettant d’accomplir pleinement son mandat, en conformité avec les Principes de Paris.</w:t>
      </w:r>
    </w:p>
    <w:p w:rsidR="00785863" w:rsidRDefault="00785863" w:rsidP="00785863">
      <w:pPr>
        <w:pStyle w:val="SingleTxtG"/>
        <w:rPr>
          <w:b/>
        </w:rPr>
      </w:pPr>
      <w:r>
        <w:rPr>
          <w:b/>
        </w:rPr>
        <w:t>E</w:t>
      </w:r>
      <w:r w:rsidRPr="003E5EEA">
        <w:rPr>
          <w:b/>
        </w:rPr>
        <w:t>nquêtes sur des violations des droits de l'homme</w:t>
      </w:r>
    </w:p>
    <w:p w:rsidR="00785863" w:rsidRPr="00454270" w:rsidRDefault="00093F02" w:rsidP="00093F02">
      <w:pPr>
        <w:pStyle w:val="SingleTxtG"/>
        <w:kinsoku/>
        <w:overflowPunct/>
        <w:autoSpaceDE/>
        <w:autoSpaceDN/>
        <w:adjustRightInd/>
        <w:snapToGrid/>
      </w:pPr>
      <w:r w:rsidRPr="00454270">
        <w:t>9.</w:t>
      </w:r>
      <w:r w:rsidRPr="00454270">
        <w:tab/>
      </w:r>
      <w:r w:rsidR="00785863" w:rsidRPr="00454270">
        <w:t xml:space="preserve">Le Comité se félicite de la mise en place du Haut Conseil pour la Réconciliation et l’Unité nationale </w:t>
      </w:r>
      <w:r w:rsidR="00785863">
        <w:t>et</w:t>
      </w:r>
      <w:r w:rsidR="00785863" w:rsidRPr="00454270">
        <w:t xml:space="preserve"> de deux Commissions d’enquête</w:t>
      </w:r>
      <w:r w:rsidR="00785863">
        <w:t xml:space="preserve"> pour faire la lumière et établir </w:t>
      </w:r>
      <w:r w:rsidR="00785863" w:rsidRPr="00454270">
        <w:t>la responsabilité des crimes et violations graves des droits de l’homme commis depuis 1960</w:t>
      </w:r>
      <w:r w:rsidR="00785863">
        <w:t xml:space="preserve"> et lors des évènements de 2014 et 2015 respectivement. Il se félicite par ailleurs de</w:t>
      </w:r>
      <w:r w:rsidR="00785863" w:rsidRPr="00454270">
        <w:t xml:space="preserve"> la réouverture de certains dossiers, notamment ceux relatifs aux assassinats de Thomas </w:t>
      </w:r>
      <w:proofErr w:type="spellStart"/>
      <w:r w:rsidR="00785863" w:rsidRPr="00454270">
        <w:t>Sankara</w:t>
      </w:r>
      <w:proofErr w:type="spellEnd"/>
      <w:r w:rsidR="00785863" w:rsidRPr="00454270">
        <w:t xml:space="preserve"> et de Norbert </w:t>
      </w:r>
      <w:proofErr w:type="spellStart"/>
      <w:r w:rsidR="00785863" w:rsidRPr="00454270">
        <w:t>Zongo</w:t>
      </w:r>
      <w:proofErr w:type="spellEnd"/>
      <w:r w:rsidR="00785863" w:rsidRPr="00454270">
        <w:t xml:space="preserve">. </w:t>
      </w:r>
      <w:r w:rsidR="00785863">
        <w:t xml:space="preserve">Le Comité </w:t>
      </w:r>
      <w:r w:rsidR="00785863" w:rsidRPr="00454270">
        <w:t xml:space="preserve">s’inquiète </w:t>
      </w:r>
      <w:r w:rsidR="00785863">
        <w:t xml:space="preserve">néanmoins de </w:t>
      </w:r>
      <w:r w:rsidR="00785863" w:rsidRPr="00454270">
        <w:t>la lenteur de</w:t>
      </w:r>
      <w:r w:rsidR="00785863">
        <w:t xml:space="preserve"> certaine</w:t>
      </w:r>
      <w:r w:rsidR="00785863" w:rsidRPr="00454270">
        <w:t xml:space="preserve">s enquêtes, notamment eu égard à la responsabilité pénale des forces de l’ordre et de sécurité (arts. 2, 6, 7, 9, 19 et 21). </w:t>
      </w:r>
    </w:p>
    <w:p w:rsidR="00785863" w:rsidRPr="00454270" w:rsidRDefault="00093F02" w:rsidP="00093F02">
      <w:pPr>
        <w:pStyle w:val="SingleTxtG"/>
        <w:kinsoku/>
        <w:overflowPunct/>
        <w:autoSpaceDE/>
        <w:autoSpaceDN/>
        <w:adjustRightInd/>
        <w:snapToGrid/>
        <w:rPr>
          <w:b/>
        </w:rPr>
      </w:pPr>
      <w:r w:rsidRPr="00454270">
        <w:t>10.</w:t>
      </w:r>
      <w:r w:rsidRPr="00454270">
        <w:tab/>
      </w:r>
      <w:r w:rsidR="00785863" w:rsidRPr="00454270">
        <w:rPr>
          <w:b/>
        </w:rPr>
        <w:t>L’</w:t>
      </w:r>
      <w:r w:rsidR="00FA441F">
        <w:rPr>
          <w:b/>
        </w:rPr>
        <w:t>État</w:t>
      </w:r>
      <w:r w:rsidR="00785863" w:rsidRPr="00454270">
        <w:rPr>
          <w:b/>
        </w:rPr>
        <w:t xml:space="preserve"> partie devrait poursuivre ses efforts </w:t>
      </w:r>
      <w:r w:rsidR="00F47FA7">
        <w:rPr>
          <w:b/>
        </w:rPr>
        <w:t xml:space="preserve">pour </w:t>
      </w:r>
      <w:r w:rsidR="00785863" w:rsidRPr="00454270">
        <w:rPr>
          <w:b/>
        </w:rPr>
        <w:t>faire la lumière et établir la responsabilité des crimes commis par le passé et il devrait enquêter sur les cas de violations des droits de l’homme documentés par les Commissions d’enquête, poursuivre les auteurs présumés et sanction</w:t>
      </w:r>
      <w:r w:rsidR="00F47FA7">
        <w:rPr>
          <w:b/>
        </w:rPr>
        <w:t xml:space="preserve">ner les coupables proportionnellement </w:t>
      </w:r>
      <w:r w:rsidR="00785863" w:rsidRPr="00454270">
        <w:rPr>
          <w:b/>
        </w:rPr>
        <w:t>à la gravité de l’infraction. Il devrait par ailleurs veiller à ce que toutes les victimes disposent d’un recours utile, y compris des mesures adéquates d’indemnisation, de restitution et de réadaptation.</w:t>
      </w:r>
    </w:p>
    <w:p w:rsidR="00785863" w:rsidRPr="006A3154" w:rsidRDefault="00785863" w:rsidP="00785863">
      <w:pPr>
        <w:pStyle w:val="H23G"/>
        <w:tabs>
          <w:tab w:val="clear" w:pos="851"/>
        </w:tabs>
        <w:ind w:firstLine="0"/>
      </w:pPr>
      <w:r w:rsidRPr="006A3154">
        <w:t>Représentation des femmes dans les affaires publiques</w:t>
      </w:r>
    </w:p>
    <w:p w:rsidR="00785863" w:rsidRPr="006A3154" w:rsidRDefault="00093F02" w:rsidP="00093F02">
      <w:pPr>
        <w:pStyle w:val="SingleTxtG"/>
        <w:kinsoku/>
        <w:overflowPunct/>
        <w:autoSpaceDE/>
        <w:autoSpaceDN/>
        <w:adjustRightInd/>
        <w:snapToGrid/>
      </w:pPr>
      <w:r w:rsidRPr="006A3154">
        <w:t>11.</w:t>
      </w:r>
      <w:r w:rsidRPr="006A3154">
        <w:tab/>
      </w:r>
      <w:r w:rsidR="00F16F30">
        <w:t xml:space="preserve">Tout en notant </w:t>
      </w:r>
      <w:r w:rsidR="00F95616">
        <w:t>l</w:t>
      </w:r>
      <w:r w:rsidR="00F16F30">
        <w:t xml:space="preserve">es progrès accomplis </w:t>
      </w:r>
      <w:r w:rsidR="00F95616">
        <w:t>pour accroître le nombre de femmes dans certaines instances de décision politiques, l</w:t>
      </w:r>
      <w:r w:rsidR="00785863" w:rsidRPr="006A3154">
        <w:t xml:space="preserve">e comité </w:t>
      </w:r>
      <w:r w:rsidR="00F95616">
        <w:t>demeure préoccupé par</w:t>
      </w:r>
      <w:r w:rsidR="00785863" w:rsidRPr="006A3154">
        <w:t xml:space="preserve"> </w:t>
      </w:r>
      <w:r w:rsidR="006E12C7">
        <w:t xml:space="preserve">le faible nombre de femmes </w:t>
      </w:r>
      <w:r w:rsidR="00785863" w:rsidRPr="006A3154">
        <w:t>dans les affaires publiques</w:t>
      </w:r>
      <w:r w:rsidR="00F95616">
        <w:t xml:space="preserve"> et à des postes de </w:t>
      </w:r>
      <w:r w:rsidR="007E3173">
        <w:t>responsabilité</w:t>
      </w:r>
      <w:r w:rsidR="00F95616">
        <w:t xml:space="preserve"> dans le secteur privé</w:t>
      </w:r>
      <w:r w:rsidR="00785863" w:rsidRPr="006A3154">
        <w:t>. Il note en particulier que malgré l’introduction d’un quota de 30% aux élections législatives et municipales et l’augmentation du nombre de femmes inscrites aux élections législatives de 2015, le nombre de femmes élues a régressé et reste extrêmement faible (art</w:t>
      </w:r>
      <w:r w:rsidR="000D561E">
        <w:t>s</w:t>
      </w:r>
      <w:r w:rsidR="00785863" w:rsidRPr="006A3154">
        <w:t>.</w:t>
      </w:r>
      <w:r w:rsidR="00415BEC">
        <w:t xml:space="preserve"> </w:t>
      </w:r>
      <w:r w:rsidR="00785863" w:rsidRPr="006A3154">
        <w:t>2</w:t>
      </w:r>
      <w:r w:rsidR="000D561E">
        <w:t>, 3 et 26</w:t>
      </w:r>
      <w:r w:rsidR="00785863" w:rsidRPr="006A3154">
        <w:t xml:space="preserve">). </w:t>
      </w:r>
    </w:p>
    <w:p w:rsidR="00785863" w:rsidRDefault="00093F02" w:rsidP="00093F02">
      <w:pPr>
        <w:pStyle w:val="SingleTxtG"/>
        <w:kinsoku/>
        <w:overflowPunct/>
        <w:autoSpaceDE/>
        <w:autoSpaceDN/>
        <w:adjustRightInd/>
        <w:snapToGrid/>
        <w:rPr>
          <w:b/>
          <w:bCs/>
        </w:rPr>
      </w:pPr>
      <w:r>
        <w:rPr>
          <w:bCs/>
        </w:rPr>
        <w:t>12.</w:t>
      </w:r>
      <w:r>
        <w:rPr>
          <w:bCs/>
        </w:rPr>
        <w:tab/>
      </w:r>
      <w:r w:rsidR="005F4F96" w:rsidRPr="006A3154">
        <w:rPr>
          <w:b/>
          <w:bCs/>
        </w:rPr>
        <w:t>L’État</w:t>
      </w:r>
      <w:r w:rsidR="00785863" w:rsidRPr="006A3154">
        <w:rPr>
          <w:b/>
          <w:bCs/>
        </w:rPr>
        <w:t xml:space="preserve"> partie devrait poursuivre </w:t>
      </w:r>
      <w:r w:rsidR="00F95616">
        <w:rPr>
          <w:b/>
          <w:bCs/>
        </w:rPr>
        <w:t>s</w:t>
      </w:r>
      <w:r w:rsidR="00785863" w:rsidRPr="006A3154">
        <w:rPr>
          <w:b/>
          <w:bCs/>
        </w:rPr>
        <w:t xml:space="preserve">es efforts afin </w:t>
      </w:r>
      <w:r w:rsidR="006E12C7">
        <w:rPr>
          <w:b/>
          <w:bCs/>
        </w:rPr>
        <w:t xml:space="preserve">d’augmenter le nombre de femmes </w:t>
      </w:r>
      <w:r w:rsidR="00785863" w:rsidRPr="006A3154">
        <w:rPr>
          <w:b/>
          <w:bCs/>
        </w:rPr>
        <w:t>dans les affaires publiques, notamment en veillant à une application effective de sa législation</w:t>
      </w:r>
      <w:r w:rsidR="00F95616">
        <w:rPr>
          <w:b/>
          <w:bCs/>
        </w:rPr>
        <w:t xml:space="preserve"> relative aux partis politiques</w:t>
      </w:r>
      <w:r w:rsidR="001935D9">
        <w:rPr>
          <w:b/>
          <w:bCs/>
        </w:rPr>
        <w:t xml:space="preserve"> </w:t>
      </w:r>
      <w:r w:rsidR="00785863" w:rsidRPr="006A3154">
        <w:rPr>
          <w:b/>
          <w:bCs/>
        </w:rPr>
        <w:t xml:space="preserve">et en encourageant les femmes à se porter candidates à des postes élus. Il devrait également prendre des mesures </w:t>
      </w:r>
      <w:r w:rsidR="008709E3">
        <w:rPr>
          <w:b/>
          <w:bCs/>
        </w:rPr>
        <w:t>en vue</w:t>
      </w:r>
      <w:r w:rsidR="008709E3" w:rsidRPr="006A3154">
        <w:rPr>
          <w:b/>
          <w:bCs/>
        </w:rPr>
        <w:t xml:space="preserve"> </w:t>
      </w:r>
      <w:r w:rsidR="005F4F96">
        <w:rPr>
          <w:b/>
          <w:bCs/>
        </w:rPr>
        <w:lastRenderedPageBreak/>
        <w:t>d’</w:t>
      </w:r>
      <w:r w:rsidR="00785863" w:rsidRPr="006A3154">
        <w:rPr>
          <w:b/>
          <w:bCs/>
        </w:rPr>
        <w:t>accroître le nombre de femmes à des postes de responsabilité dans tous les autres domaines</w:t>
      </w:r>
      <w:r w:rsidR="007E3173">
        <w:rPr>
          <w:b/>
          <w:bCs/>
        </w:rPr>
        <w:t xml:space="preserve"> et notamment dans le secteur privé</w:t>
      </w:r>
      <w:r w:rsidR="00785863" w:rsidRPr="006A3154">
        <w:rPr>
          <w:b/>
          <w:bCs/>
        </w:rPr>
        <w:t>.</w:t>
      </w:r>
    </w:p>
    <w:p w:rsidR="00785863" w:rsidRPr="006A3154" w:rsidRDefault="00785863" w:rsidP="00785863">
      <w:pPr>
        <w:pStyle w:val="H23G"/>
        <w:tabs>
          <w:tab w:val="clear" w:pos="851"/>
        </w:tabs>
        <w:ind w:firstLine="0"/>
      </w:pPr>
      <w:r w:rsidRPr="006A3154">
        <w:t>Discrimination fondée sur l’orientation sexuelle ou l’identité de genre</w:t>
      </w:r>
    </w:p>
    <w:p w:rsidR="00785863" w:rsidRPr="006A3154" w:rsidRDefault="00093F02" w:rsidP="00093F02">
      <w:pPr>
        <w:pStyle w:val="SingleTxtG"/>
        <w:kinsoku/>
        <w:overflowPunct/>
        <w:autoSpaceDE/>
        <w:autoSpaceDN/>
        <w:adjustRightInd/>
        <w:snapToGrid/>
        <w:rPr>
          <w:lang w:eastAsia="fr-FR"/>
        </w:rPr>
      </w:pPr>
      <w:r w:rsidRPr="006A3154">
        <w:rPr>
          <w:lang w:eastAsia="fr-FR"/>
        </w:rPr>
        <w:t>13.</w:t>
      </w:r>
      <w:r w:rsidRPr="006A3154">
        <w:rPr>
          <w:lang w:eastAsia="fr-FR"/>
        </w:rPr>
        <w:tab/>
      </w:r>
      <w:r w:rsidR="00785863" w:rsidRPr="006A3154">
        <w:rPr>
          <w:lang w:eastAsia="fr-FR"/>
        </w:rPr>
        <w:t>Le Comité est préoccupé par les stéréotypes</w:t>
      </w:r>
      <w:r w:rsidR="00785863" w:rsidRPr="006A3154">
        <w:t xml:space="preserve"> </w:t>
      </w:r>
      <w:r w:rsidR="00785863" w:rsidRPr="006A3154">
        <w:rPr>
          <w:lang w:eastAsia="fr-FR"/>
        </w:rPr>
        <w:t xml:space="preserve">à l’encontre des lesbiennes, gays, bisexuels et transgenres </w:t>
      </w:r>
      <w:r w:rsidR="00415BEC">
        <w:rPr>
          <w:lang w:eastAsia="fr-FR"/>
        </w:rPr>
        <w:t xml:space="preserve">(LGBT) </w:t>
      </w:r>
      <w:r w:rsidR="00785863" w:rsidRPr="006A3154">
        <w:rPr>
          <w:lang w:eastAsia="fr-FR"/>
        </w:rPr>
        <w:t>et par</w:t>
      </w:r>
      <w:r w:rsidR="00785863" w:rsidRPr="006A3154">
        <w:t xml:space="preserve"> les informations faisant état d’actes de discrimination et  de</w:t>
      </w:r>
      <w:r w:rsidR="00785863" w:rsidRPr="006A3154">
        <w:rPr>
          <w:lang w:eastAsia="fr-FR"/>
        </w:rPr>
        <w:t xml:space="preserve"> discours de haine à leur encontre</w:t>
      </w:r>
      <w:r w:rsidR="00785863">
        <w:rPr>
          <w:lang w:eastAsia="fr-FR"/>
        </w:rPr>
        <w:t xml:space="preserve"> émanant </w:t>
      </w:r>
      <w:r w:rsidR="00785863" w:rsidRPr="006A3154">
        <w:rPr>
          <w:lang w:eastAsia="fr-FR"/>
        </w:rPr>
        <w:t xml:space="preserve">notamment de figures politiques. </w:t>
      </w:r>
      <w:r w:rsidR="00785863" w:rsidRPr="006A3154">
        <w:t>Il constate également avec préoccupation l’absence de législation interdisant expressément la discrimination fondée sur l’orientation sexuelle ou l’identité de genre (art. 2 et 26).</w:t>
      </w:r>
      <w:r w:rsidR="00785863" w:rsidRPr="006A3154">
        <w:rPr>
          <w:lang w:eastAsia="fr-FR"/>
        </w:rPr>
        <w:t xml:space="preserve"> </w:t>
      </w:r>
    </w:p>
    <w:p w:rsidR="00785863" w:rsidRPr="006A3154" w:rsidRDefault="00093F02" w:rsidP="00093F02">
      <w:pPr>
        <w:pStyle w:val="SingleTxtG"/>
        <w:kinsoku/>
        <w:overflowPunct/>
        <w:autoSpaceDE/>
        <w:autoSpaceDN/>
        <w:adjustRightInd/>
        <w:snapToGrid/>
      </w:pPr>
      <w:r w:rsidRPr="006A3154">
        <w:t>14.</w:t>
      </w:r>
      <w:r w:rsidRPr="006A3154">
        <w:tab/>
      </w:r>
      <w:r w:rsidR="00785863" w:rsidRPr="006A3154">
        <w:rPr>
          <w:b/>
          <w:bCs/>
        </w:rPr>
        <w:t xml:space="preserve">L’État partie devrait mener des campagnes de sensibilisation et redoubler d’efforts pour combattre et condamner les stéréotypes, les discours de haine ou la violence à l’égard de l’homosexualité, la bisexualité ou la transsexualité. Il devrait aussi revoir sa législation pour faire en sorte que la discrimination fondée sur l’orientation sexuelle ou l’identité de genre soit interdite. </w:t>
      </w:r>
    </w:p>
    <w:p w:rsidR="00785863" w:rsidRPr="00B11DA1" w:rsidRDefault="00785863" w:rsidP="00785863">
      <w:pPr>
        <w:pStyle w:val="H23G"/>
        <w:tabs>
          <w:tab w:val="clear" w:pos="851"/>
        </w:tabs>
        <w:ind w:firstLine="0"/>
      </w:pPr>
      <w:r w:rsidRPr="006A3154">
        <w:t>Égalité entre hommes et femmes</w:t>
      </w:r>
      <w:r>
        <w:t xml:space="preserve"> et p</w:t>
      </w:r>
      <w:r w:rsidRPr="00B11DA1">
        <w:t>ratiques préjudiciables à l’égard des femmes</w:t>
      </w:r>
    </w:p>
    <w:p w:rsidR="00785863" w:rsidRPr="00DF6A56" w:rsidRDefault="00093F02" w:rsidP="00093F02">
      <w:pPr>
        <w:pStyle w:val="SingleTxtG"/>
        <w:kinsoku/>
        <w:overflowPunct/>
        <w:autoSpaceDE/>
        <w:autoSpaceDN/>
        <w:adjustRightInd/>
        <w:snapToGrid/>
        <w:rPr>
          <w:bCs/>
        </w:rPr>
      </w:pPr>
      <w:r w:rsidRPr="00DF6A56">
        <w:rPr>
          <w:bCs/>
        </w:rPr>
        <w:t>15.</w:t>
      </w:r>
      <w:r w:rsidRPr="00DF6A56">
        <w:rPr>
          <w:bCs/>
        </w:rPr>
        <w:tab/>
      </w:r>
      <w:r w:rsidR="00785863" w:rsidRPr="00DF6A56">
        <w:rPr>
          <w:bCs/>
        </w:rPr>
        <w:t xml:space="preserve">Le Comité prend note des informations fournies par la délégation quant à la </w:t>
      </w:r>
      <w:r w:rsidR="00F47FA7">
        <w:rPr>
          <w:bCs/>
        </w:rPr>
        <w:t>possibilité de relever</w:t>
      </w:r>
      <w:r w:rsidR="00785863" w:rsidRPr="00DF6A56">
        <w:rPr>
          <w:bCs/>
        </w:rPr>
        <w:t xml:space="preserve"> l’âge du mariage et </w:t>
      </w:r>
      <w:r w:rsidR="00237055">
        <w:rPr>
          <w:bCs/>
        </w:rPr>
        <w:t>de prendre</w:t>
      </w:r>
      <w:r w:rsidR="00785863" w:rsidRPr="00DF6A56">
        <w:rPr>
          <w:bCs/>
        </w:rPr>
        <w:t xml:space="preserve"> en compte </w:t>
      </w:r>
      <w:r w:rsidR="00237055">
        <w:rPr>
          <w:bCs/>
        </w:rPr>
        <w:t>l</w:t>
      </w:r>
      <w:r w:rsidR="00785863" w:rsidRPr="00DF6A56">
        <w:rPr>
          <w:bCs/>
        </w:rPr>
        <w:t xml:space="preserve">es mariages coutumiers et religieux dans le cadre légal. Il reste néanmoins préoccupé par : (a) </w:t>
      </w:r>
      <w:r w:rsidR="00785863" w:rsidRPr="00920344">
        <w:rPr>
          <w:bCs/>
        </w:rPr>
        <w:t>la subsistance de dispositions législatives discriminatoires à l’égard des femmes, notamment en matière d’âge minimum légal du mariage et de régime matrimonial puisque la polygamie reste autorisée par l</w:t>
      </w:r>
      <w:r w:rsidR="00785863">
        <w:rPr>
          <w:bCs/>
        </w:rPr>
        <w:t xml:space="preserve">a loi ; </w:t>
      </w:r>
      <w:r w:rsidR="007E3173">
        <w:rPr>
          <w:bCs/>
        </w:rPr>
        <w:t xml:space="preserve">(b) le non-respect de l’âge minimum du mariage </w:t>
      </w:r>
      <w:r w:rsidR="00F06383">
        <w:rPr>
          <w:bCs/>
        </w:rPr>
        <w:t xml:space="preserve">dans le cadre des mariages traditionnels ou religieux ; </w:t>
      </w:r>
      <w:r w:rsidR="00785863">
        <w:rPr>
          <w:bCs/>
        </w:rPr>
        <w:t>(</w:t>
      </w:r>
      <w:r w:rsidR="00F06383">
        <w:rPr>
          <w:bCs/>
        </w:rPr>
        <w:t>c</w:t>
      </w:r>
      <w:r w:rsidR="00785863">
        <w:rPr>
          <w:bCs/>
        </w:rPr>
        <w:t xml:space="preserve">) </w:t>
      </w:r>
      <w:r w:rsidR="00785863" w:rsidRPr="00DF6A56">
        <w:rPr>
          <w:bCs/>
        </w:rPr>
        <w:t>la prévalence des mariages for</w:t>
      </w:r>
      <w:r w:rsidR="00785863">
        <w:rPr>
          <w:bCs/>
        </w:rPr>
        <w:t>cés et des mariages précoces; (</w:t>
      </w:r>
      <w:r w:rsidR="00F06383">
        <w:rPr>
          <w:bCs/>
        </w:rPr>
        <w:t>d</w:t>
      </w:r>
      <w:r w:rsidR="00785863" w:rsidRPr="00DF6A56">
        <w:rPr>
          <w:bCs/>
        </w:rPr>
        <w:t>) la persistance et la prévalence des mutilations génitales féminines, malgré leur incrimination depuis 1996 ;</w:t>
      </w:r>
      <w:r w:rsidR="00785863">
        <w:rPr>
          <w:bCs/>
        </w:rPr>
        <w:t xml:space="preserve"> et (</w:t>
      </w:r>
      <w:r w:rsidR="00F06383">
        <w:rPr>
          <w:bCs/>
        </w:rPr>
        <w:t>e</w:t>
      </w:r>
      <w:r w:rsidR="00785863" w:rsidRPr="00DF6A56">
        <w:rPr>
          <w:bCs/>
        </w:rPr>
        <w:t xml:space="preserve">) les pratiques coutumières discriminatoires envers les femmes qui les empêchent de posséder des terres et d’hériter </w:t>
      </w:r>
      <w:r w:rsidR="00785863">
        <w:rPr>
          <w:bCs/>
        </w:rPr>
        <w:t xml:space="preserve">de leur mari (arts. 2, 3, 7, 23, </w:t>
      </w:r>
      <w:r w:rsidR="00785863" w:rsidRPr="00DF6A56">
        <w:rPr>
          <w:bCs/>
        </w:rPr>
        <w:t>24</w:t>
      </w:r>
      <w:r w:rsidR="00785863">
        <w:rPr>
          <w:bCs/>
        </w:rPr>
        <w:t xml:space="preserve"> et 26</w:t>
      </w:r>
      <w:r w:rsidR="00785863" w:rsidRPr="00DF6A56">
        <w:rPr>
          <w:bCs/>
        </w:rPr>
        <w:t>).</w:t>
      </w:r>
    </w:p>
    <w:p w:rsidR="00785863" w:rsidRPr="00DF6A56" w:rsidRDefault="00093F02" w:rsidP="00093F02">
      <w:pPr>
        <w:pStyle w:val="SingleTxtG"/>
        <w:kinsoku/>
        <w:overflowPunct/>
        <w:autoSpaceDE/>
        <w:autoSpaceDN/>
        <w:adjustRightInd/>
        <w:snapToGrid/>
        <w:spacing w:after="0"/>
        <w:rPr>
          <w:b/>
          <w:bCs/>
          <w:color w:val="1F497D" w:themeColor="text2"/>
        </w:rPr>
      </w:pPr>
      <w:r w:rsidRPr="00DF6A56">
        <w:rPr>
          <w:bCs/>
        </w:rPr>
        <w:t>16.</w:t>
      </w:r>
      <w:r w:rsidRPr="00DF6A56">
        <w:rPr>
          <w:bCs/>
        </w:rPr>
        <w:tab/>
      </w:r>
      <w:r w:rsidR="00785863" w:rsidRPr="00DF6A56">
        <w:rPr>
          <w:b/>
          <w:bCs/>
        </w:rPr>
        <w:t>L’</w:t>
      </w:r>
      <w:r w:rsidR="00FA441F">
        <w:rPr>
          <w:b/>
          <w:bCs/>
        </w:rPr>
        <w:t>État</w:t>
      </w:r>
      <w:r w:rsidR="00785863" w:rsidRPr="00DF6A56">
        <w:rPr>
          <w:b/>
          <w:bCs/>
        </w:rPr>
        <w:t xml:space="preserve"> partie devrait : (a) </w:t>
      </w:r>
      <w:r w:rsidR="00785863">
        <w:rPr>
          <w:b/>
          <w:bCs/>
        </w:rPr>
        <w:t>réviser</w:t>
      </w:r>
      <w:r w:rsidR="00785863" w:rsidRPr="00920344">
        <w:rPr>
          <w:b/>
          <w:bCs/>
        </w:rPr>
        <w:t xml:space="preserve"> le Code des personnes et de la famille afin de garantir un âge minimum de mariage égal pour les hommes et les femmes</w:t>
      </w:r>
      <w:r w:rsidR="00F06383">
        <w:rPr>
          <w:b/>
          <w:bCs/>
        </w:rPr>
        <w:t xml:space="preserve"> qui s’applique à tous les mariages, y compris aux </w:t>
      </w:r>
      <w:r w:rsidR="008709E3">
        <w:rPr>
          <w:b/>
          <w:bCs/>
        </w:rPr>
        <w:t xml:space="preserve">mariages </w:t>
      </w:r>
      <w:r w:rsidR="00F06383">
        <w:rPr>
          <w:b/>
          <w:bCs/>
        </w:rPr>
        <w:t>traditionnels ou religieu</w:t>
      </w:r>
      <w:r w:rsidR="005F4F96">
        <w:rPr>
          <w:b/>
          <w:bCs/>
        </w:rPr>
        <w:t>x</w:t>
      </w:r>
      <w:r w:rsidR="00F06383">
        <w:rPr>
          <w:b/>
          <w:bCs/>
        </w:rPr>
        <w:t>,</w:t>
      </w:r>
      <w:r w:rsidR="00785863" w:rsidRPr="00920344">
        <w:rPr>
          <w:b/>
          <w:bCs/>
        </w:rPr>
        <w:t xml:space="preserve"> et prendre des mesures pour réduire la polygamie, en vue de sa suppression</w:t>
      </w:r>
      <w:r w:rsidR="00785863">
        <w:rPr>
          <w:b/>
          <w:bCs/>
        </w:rPr>
        <w:t> ; (b) é</w:t>
      </w:r>
      <w:r w:rsidR="00785863" w:rsidRPr="00DF6A56">
        <w:rPr>
          <w:b/>
          <w:bCs/>
        </w:rPr>
        <w:t>largir l’interdiction des mariages forcés aux mari</w:t>
      </w:r>
      <w:r w:rsidR="00785863">
        <w:rPr>
          <w:b/>
          <w:bCs/>
        </w:rPr>
        <w:t>ages traditionnels ou religieux</w:t>
      </w:r>
      <w:r w:rsidR="00F06383">
        <w:rPr>
          <w:b/>
          <w:bCs/>
        </w:rPr>
        <w:t> ; (c)</w:t>
      </w:r>
      <w:r w:rsidR="00785863" w:rsidRPr="00DF6A56">
        <w:rPr>
          <w:b/>
          <w:bCs/>
        </w:rPr>
        <w:t xml:space="preserve"> veiller à l’enregistrement officiel de</w:t>
      </w:r>
      <w:r w:rsidR="00F06383">
        <w:rPr>
          <w:b/>
          <w:bCs/>
        </w:rPr>
        <w:t>s</w:t>
      </w:r>
      <w:r w:rsidR="00785863">
        <w:rPr>
          <w:b/>
          <w:bCs/>
        </w:rPr>
        <w:t xml:space="preserve"> </w:t>
      </w:r>
      <w:r w:rsidR="00785863" w:rsidRPr="00DF6A56">
        <w:rPr>
          <w:b/>
          <w:bCs/>
        </w:rPr>
        <w:t>mariages</w:t>
      </w:r>
      <w:r w:rsidR="00F06383">
        <w:rPr>
          <w:b/>
          <w:bCs/>
        </w:rPr>
        <w:t xml:space="preserve"> traditionnels ou religieux</w:t>
      </w:r>
      <w:r w:rsidR="00785863" w:rsidRPr="00DF6A56">
        <w:rPr>
          <w:b/>
          <w:bCs/>
        </w:rPr>
        <w:t xml:space="preserve"> et à la vérification systématique de l’âge des époux et leur consentement; (</w:t>
      </w:r>
      <w:r w:rsidR="00F06383">
        <w:rPr>
          <w:b/>
          <w:bCs/>
        </w:rPr>
        <w:t>d</w:t>
      </w:r>
      <w:r w:rsidR="00785863">
        <w:rPr>
          <w:b/>
          <w:bCs/>
        </w:rPr>
        <w:t>) p</w:t>
      </w:r>
      <w:r w:rsidR="00785863" w:rsidRPr="00DF6A56">
        <w:rPr>
          <w:b/>
          <w:bCs/>
        </w:rPr>
        <w:t>oursuivre les efforts de sensibilisation et développer de nouvelles stratégies d’intervention pour éradiquer les mutilations génitales féminines ; et (</w:t>
      </w:r>
      <w:r w:rsidR="00F06383">
        <w:rPr>
          <w:b/>
          <w:bCs/>
        </w:rPr>
        <w:t>e</w:t>
      </w:r>
      <w:r w:rsidR="00785863">
        <w:rPr>
          <w:b/>
          <w:bCs/>
        </w:rPr>
        <w:t>) r</w:t>
      </w:r>
      <w:r w:rsidR="00785863" w:rsidRPr="00DF6A56">
        <w:rPr>
          <w:b/>
          <w:bCs/>
        </w:rPr>
        <w:t>enforcer les actions d’éducation et de sensibilisation de la population, y compris des chefs religieux et coutumiers en matière de lutte contre les pratiques traditionnelles préjudiciables à l’égard des femmes et garantir la mise en œuvre effective des dispositions légales garantissant l’égalité en matière d’héritage et d’accès aux terres</w:t>
      </w:r>
      <w:r w:rsidR="00785863" w:rsidRPr="00DF6A56">
        <w:rPr>
          <w:b/>
          <w:bCs/>
          <w:color w:val="1F497D" w:themeColor="text2"/>
        </w:rPr>
        <w:t>.</w:t>
      </w:r>
    </w:p>
    <w:p w:rsidR="00785863" w:rsidRPr="00B11DA1" w:rsidRDefault="00785863" w:rsidP="00785863">
      <w:pPr>
        <w:pStyle w:val="H23G"/>
        <w:tabs>
          <w:tab w:val="clear" w:pos="851"/>
        </w:tabs>
        <w:ind w:firstLine="0"/>
      </w:pPr>
      <w:r w:rsidRPr="00B11DA1">
        <w:t>Violence à l’égard des femmes</w:t>
      </w:r>
    </w:p>
    <w:p w:rsidR="00785863" w:rsidRPr="00093F02" w:rsidRDefault="00093F02" w:rsidP="00093F02">
      <w:pPr>
        <w:pStyle w:val="SingleTxtG"/>
      </w:pPr>
      <w:r w:rsidRPr="00093F02">
        <w:t>17.</w:t>
      </w:r>
      <w:r w:rsidRPr="00093F02">
        <w:tab/>
      </w:r>
      <w:r w:rsidR="00785863" w:rsidRPr="00093F02">
        <w:t xml:space="preserve">Le Comité demeure préoccupé par la prévalence de la violence à l’égard des femmes, y compris la violence conjugale et sexuelle, par l’insuffisance des mesures de prise en charge des victimes et des structures d’accueil. Le Comité note par ailleurs avec préoccupation que le viol conjugal, tel que défini à l’article 14(2) de la loi No. 061-2015/CNT, n’est incriminé que s’il est commis « de manière répétitive » ou lorsque le partenaire est dans une « incapacité physique quelconque d’accomplir une relation sexuelle » et qu’il n’est sanctionné que d’une amende (arts. 3 et 7).   </w:t>
      </w:r>
    </w:p>
    <w:p w:rsidR="00785863" w:rsidRPr="00093F02" w:rsidRDefault="00093F02" w:rsidP="00093F02">
      <w:pPr>
        <w:pStyle w:val="SingleTxtG"/>
        <w:rPr>
          <w:b/>
        </w:rPr>
      </w:pPr>
      <w:r w:rsidRPr="00093F02">
        <w:rPr>
          <w:b/>
        </w:rPr>
        <w:lastRenderedPageBreak/>
        <w:t>18.</w:t>
      </w:r>
      <w:r w:rsidRPr="00093F02">
        <w:rPr>
          <w:b/>
        </w:rPr>
        <w:tab/>
      </w:r>
      <w:r w:rsidR="00785863" w:rsidRPr="00093F02">
        <w:rPr>
          <w:b/>
        </w:rPr>
        <w:t>L’</w:t>
      </w:r>
      <w:r w:rsidR="00FA441F">
        <w:rPr>
          <w:b/>
        </w:rPr>
        <w:t>État</w:t>
      </w:r>
      <w:r w:rsidR="00785863" w:rsidRPr="00093F02">
        <w:rPr>
          <w:b/>
        </w:rPr>
        <w:t xml:space="preserve"> partie devrait veiller à l’application effective de la loi No. 061-2015/CNT</w:t>
      </w:r>
      <w:r w:rsidR="00114551" w:rsidRPr="00093F02">
        <w:rPr>
          <w:b/>
        </w:rPr>
        <w:t xml:space="preserve"> </w:t>
      </w:r>
      <w:r w:rsidR="00785863" w:rsidRPr="00093F02">
        <w:rPr>
          <w:b/>
        </w:rPr>
        <w:t>en s’assurant que les cas de violence à l’égard des femmes font l’objet d’enquête</w:t>
      </w:r>
      <w:r w:rsidR="00F47FA7" w:rsidRPr="00093F02">
        <w:rPr>
          <w:b/>
        </w:rPr>
        <w:t>s</w:t>
      </w:r>
      <w:r w:rsidR="00785863" w:rsidRPr="00093F02">
        <w:rPr>
          <w:b/>
        </w:rPr>
        <w:t xml:space="preserve"> approfondie</w:t>
      </w:r>
      <w:r w:rsidR="00F47FA7" w:rsidRPr="00093F02">
        <w:rPr>
          <w:b/>
        </w:rPr>
        <w:t>s</w:t>
      </w:r>
      <w:r w:rsidR="00785863" w:rsidRPr="00093F02">
        <w:rPr>
          <w:b/>
        </w:rPr>
        <w:t xml:space="preserve">, que les auteurs sont poursuivis et  condamnés et que les victimes </w:t>
      </w:r>
      <w:r w:rsidR="00114551" w:rsidRPr="00093F02">
        <w:rPr>
          <w:b/>
        </w:rPr>
        <w:t>aient accès à des recours utiles</w:t>
      </w:r>
      <w:r w:rsidR="00785863" w:rsidRPr="00093F02">
        <w:rPr>
          <w:b/>
        </w:rPr>
        <w:t xml:space="preserve">. L’État partie devrait intensifier les campagnes de sensibilisation sur  cette question, améliorer les services des structures d’accueil et les dispositifs de prise en charge des victimes et </w:t>
      </w:r>
      <w:r w:rsidR="00F47FA7" w:rsidRPr="00093F02">
        <w:rPr>
          <w:b/>
        </w:rPr>
        <w:t xml:space="preserve">rassembler </w:t>
      </w:r>
      <w:r w:rsidR="00785863" w:rsidRPr="00093F02">
        <w:rPr>
          <w:b/>
        </w:rPr>
        <w:t>des données ventilées sur l’ampleur de la violence à l’égard des femmes.  Enfin, l’</w:t>
      </w:r>
      <w:r w:rsidR="00FA441F">
        <w:rPr>
          <w:b/>
        </w:rPr>
        <w:t>État</w:t>
      </w:r>
      <w:r w:rsidR="00785863" w:rsidRPr="00093F02">
        <w:rPr>
          <w:b/>
        </w:rPr>
        <w:t xml:space="preserve"> partie devrait réviser l’article 14(2) de la loi No. 061-2015/CNT afin de pénaliser tout acte de viol entre époux et de prévoir des sanctions qui soient proportionnées à la gravité de l’acte. </w:t>
      </w:r>
    </w:p>
    <w:p w:rsidR="00785863" w:rsidRPr="00B11DA1" w:rsidRDefault="00785863" w:rsidP="00785863">
      <w:pPr>
        <w:pStyle w:val="H23G"/>
        <w:tabs>
          <w:tab w:val="clear" w:pos="851"/>
        </w:tabs>
        <w:ind w:firstLine="0"/>
      </w:pPr>
      <w:r w:rsidRPr="00B11DA1">
        <w:t xml:space="preserve">Interruptions </w:t>
      </w:r>
      <w:r>
        <w:t xml:space="preserve">volontaires </w:t>
      </w:r>
      <w:r w:rsidRPr="00B11DA1">
        <w:t xml:space="preserve">de </w:t>
      </w:r>
      <w:r w:rsidR="00691F39" w:rsidRPr="00B11DA1">
        <w:t>grossesse</w:t>
      </w:r>
      <w:r w:rsidR="00691F39" w:rsidRPr="00733463">
        <w:t xml:space="preserve"> et</w:t>
      </w:r>
      <w:r w:rsidRPr="00B11DA1">
        <w:t xml:space="preserve"> accès aux moyens de contraception</w:t>
      </w:r>
    </w:p>
    <w:p w:rsidR="00785863" w:rsidRPr="00B11DA1" w:rsidRDefault="00093F02" w:rsidP="00093F02">
      <w:pPr>
        <w:pStyle w:val="SingleTxtG"/>
        <w:kinsoku/>
        <w:overflowPunct/>
        <w:autoSpaceDE/>
        <w:autoSpaceDN/>
        <w:adjustRightInd/>
        <w:snapToGrid/>
      </w:pPr>
      <w:r w:rsidRPr="00B11DA1">
        <w:t>19.</w:t>
      </w:r>
      <w:r w:rsidRPr="00B11DA1">
        <w:tab/>
      </w:r>
      <w:r w:rsidR="00785863" w:rsidRPr="00B11DA1">
        <w:t>Le Comité est préoccupé par les conditions contraignantes pour accéder à l’avortement légal en cas de viol ou d’inceste, à savoir l’obtention d’une décision de justice reconnaissant l’infraction</w:t>
      </w:r>
      <w:r w:rsidR="00155CCB">
        <w:t xml:space="preserve"> </w:t>
      </w:r>
      <w:r w:rsidR="00785863" w:rsidRPr="00B11DA1">
        <w:t xml:space="preserve">et un délai légal de 10 semaines pour pratiquer une interruption volontaire de grossesse. Le Comité note avec préoccupation </w:t>
      </w:r>
      <w:r w:rsidR="008E1FD9">
        <w:t xml:space="preserve">le recours par les femmes enceintes à des avortements </w:t>
      </w:r>
      <w:r w:rsidR="00212C81">
        <w:t xml:space="preserve">à risque </w:t>
      </w:r>
      <w:r w:rsidR="008E1FD9">
        <w:t>qui mettent en danger leur vie et leur santé</w:t>
      </w:r>
      <w:r w:rsidR="00C539A5">
        <w:t xml:space="preserve"> en raison des obstacles légaux, de la stigmatisation et du manque d’information.</w:t>
      </w:r>
      <w:r w:rsidR="00114551">
        <w:t xml:space="preserve"> </w:t>
      </w:r>
      <w:r w:rsidR="00785863" w:rsidRPr="00B11DA1">
        <w:t>Le Comité est également préoccupé par les informations faisant état de violences à l’égard des femmes qui abordent les questions de contraception avec leur</w:t>
      </w:r>
      <w:r w:rsidR="00F47FA7">
        <w:t>s</w:t>
      </w:r>
      <w:r w:rsidR="00785863" w:rsidRPr="00B11DA1">
        <w:t xml:space="preserve"> partenaire</w:t>
      </w:r>
      <w:r w:rsidR="00F47FA7">
        <w:t>s</w:t>
      </w:r>
      <w:r w:rsidR="00785863" w:rsidRPr="00B11DA1">
        <w:t xml:space="preserve"> et par le fait que le coût de la contraception, bien que largement subventionnée, constitue toujours un obstacle important à son accès. Le Comité note par ailleurs avec préoccupation l’inaccessibilité des services de santé sexuelle et reproductive dans certaines zones rurales, le manque d’information en matière de contraception, et notamment de contraception d’urgence (art</w:t>
      </w:r>
      <w:r w:rsidR="006E12C7">
        <w:t>s</w:t>
      </w:r>
      <w:r w:rsidR="00785863" w:rsidRPr="00B11DA1">
        <w:t>. 3, 6, 7</w:t>
      </w:r>
      <w:r w:rsidR="006E12C7">
        <w:t xml:space="preserve"> </w:t>
      </w:r>
      <w:r w:rsidR="008709E3">
        <w:t>et 17</w:t>
      </w:r>
      <w:r w:rsidR="00785863" w:rsidRPr="00B11DA1">
        <w:t xml:space="preserve">). </w:t>
      </w:r>
    </w:p>
    <w:p w:rsidR="00785863" w:rsidRPr="00B11DA1" w:rsidRDefault="00093F02" w:rsidP="00093F02">
      <w:pPr>
        <w:pStyle w:val="SingleTxtG"/>
        <w:kinsoku/>
        <w:overflowPunct/>
        <w:autoSpaceDE/>
        <w:autoSpaceDN/>
        <w:adjustRightInd/>
        <w:snapToGrid/>
        <w:rPr>
          <w:b/>
        </w:rPr>
      </w:pPr>
      <w:r w:rsidRPr="00B11DA1">
        <w:t>20.</w:t>
      </w:r>
      <w:r w:rsidRPr="00B11DA1">
        <w:tab/>
      </w:r>
      <w:r w:rsidR="00785863" w:rsidRPr="00B11DA1">
        <w:rPr>
          <w:b/>
        </w:rPr>
        <w:t xml:space="preserve">L’État partie devrait </w:t>
      </w:r>
      <w:r w:rsidR="00785863">
        <w:rPr>
          <w:b/>
        </w:rPr>
        <w:t xml:space="preserve">éliminer les obstacles pour accéder à </w:t>
      </w:r>
      <w:r w:rsidR="00857EFE">
        <w:rPr>
          <w:b/>
        </w:rPr>
        <w:t>l’</w:t>
      </w:r>
      <w:r w:rsidR="008D5227">
        <w:rPr>
          <w:b/>
        </w:rPr>
        <w:t>avortement</w:t>
      </w:r>
      <w:r w:rsidR="00785863">
        <w:rPr>
          <w:b/>
        </w:rPr>
        <w:t xml:space="preserve"> </w:t>
      </w:r>
      <w:r w:rsidR="008D5227">
        <w:rPr>
          <w:b/>
        </w:rPr>
        <w:t xml:space="preserve">légal </w:t>
      </w:r>
      <w:r w:rsidR="00785863">
        <w:rPr>
          <w:b/>
        </w:rPr>
        <w:t xml:space="preserve">qui </w:t>
      </w:r>
      <w:r w:rsidR="00857EFE">
        <w:rPr>
          <w:b/>
        </w:rPr>
        <w:t xml:space="preserve">incitent </w:t>
      </w:r>
      <w:r w:rsidR="00785863">
        <w:rPr>
          <w:b/>
        </w:rPr>
        <w:t xml:space="preserve">les femmes à recourir à des avortements </w:t>
      </w:r>
      <w:r w:rsidR="00212C81">
        <w:rPr>
          <w:b/>
        </w:rPr>
        <w:t xml:space="preserve">à risque </w:t>
      </w:r>
      <w:r w:rsidR="008D5227">
        <w:rPr>
          <w:b/>
        </w:rPr>
        <w:t>qui mettent</w:t>
      </w:r>
      <w:r w:rsidR="00785863">
        <w:rPr>
          <w:b/>
        </w:rPr>
        <w:t xml:space="preserve"> leur vie et leur santé en danger</w:t>
      </w:r>
      <w:r w:rsidR="006E12C7">
        <w:rPr>
          <w:b/>
        </w:rPr>
        <w:t xml:space="preserve"> </w:t>
      </w:r>
      <w:r w:rsidR="008D5227">
        <w:rPr>
          <w:b/>
        </w:rPr>
        <w:t xml:space="preserve">et il </w:t>
      </w:r>
      <w:r w:rsidR="006E12C7">
        <w:rPr>
          <w:b/>
        </w:rPr>
        <w:t xml:space="preserve">devrait </w:t>
      </w:r>
      <w:r w:rsidR="006E12C7" w:rsidRPr="006E12C7">
        <w:rPr>
          <w:b/>
        </w:rPr>
        <w:t xml:space="preserve">lever l’exigence d’une autorisation préalable du tribunal pour les avortements </w:t>
      </w:r>
      <w:r w:rsidR="006E12C7">
        <w:rPr>
          <w:b/>
        </w:rPr>
        <w:t>résultants d’un viol ou d’un inceste</w:t>
      </w:r>
      <w:r w:rsidR="00785863">
        <w:rPr>
          <w:b/>
        </w:rPr>
        <w:t>. Il devrait également</w:t>
      </w:r>
      <w:r w:rsidR="00785863" w:rsidRPr="00B11DA1">
        <w:rPr>
          <w:b/>
        </w:rPr>
        <w:t>: (</w:t>
      </w:r>
      <w:r w:rsidR="00785863">
        <w:rPr>
          <w:b/>
        </w:rPr>
        <w:t>a</w:t>
      </w:r>
      <w:r w:rsidR="00785863" w:rsidRPr="00B11DA1">
        <w:rPr>
          <w:b/>
        </w:rPr>
        <w:t xml:space="preserve">) développer </w:t>
      </w:r>
      <w:r w:rsidR="00785863">
        <w:rPr>
          <w:b/>
        </w:rPr>
        <w:t xml:space="preserve">et mettre en œuvre des </w:t>
      </w:r>
      <w:r w:rsidR="00785863" w:rsidRPr="00B11DA1">
        <w:rPr>
          <w:b/>
        </w:rPr>
        <w:t xml:space="preserve">programmes d’éducation et de sensibilisation </w:t>
      </w:r>
      <w:r w:rsidR="00785863">
        <w:rPr>
          <w:b/>
        </w:rPr>
        <w:t xml:space="preserve">pour lutter contre </w:t>
      </w:r>
      <w:r w:rsidR="008178D8">
        <w:rPr>
          <w:b/>
        </w:rPr>
        <w:t xml:space="preserve">la stigmatisation </w:t>
      </w:r>
      <w:r w:rsidR="00785863">
        <w:rPr>
          <w:b/>
        </w:rPr>
        <w:t xml:space="preserve">des femmes et des </w:t>
      </w:r>
      <w:r w:rsidR="00785863" w:rsidRPr="00A3237D">
        <w:rPr>
          <w:b/>
        </w:rPr>
        <w:t xml:space="preserve">filles qui ont recours à l’avortement ; (b) veiller à ce que les femmes et les adolescentes aient accès à des services de qualité pour la prise en charge des complications liées aux avortements non médicalisés et assurer leur traitement immédiat et inconditionnel ; (c) veiller à ce que les femmes et les adolescentes aient accès à des services de santé sexuelle et reproductive et </w:t>
      </w:r>
      <w:r w:rsidR="00DF0154">
        <w:rPr>
          <w:b/>
        </w:rPr>
        <w:t xml:space="preserve">à ce que les moyens de contraception soient accessibles et disponibles </w:t>
      </w:r>
      <w:r w:rsidR="00785863" w:rsidRPr="00A3237D">
        <w:rPr>
          <w:b/>
        </w:rPr>
        <w:t>sur l’ensemble du territoire national, et en particulier dans les zones rurales et reculées.</w:t>
      </w:r>
    </w:p>
    <w:p w:rsidR="00785863" w:rsidRPr="00454270" w:rsidRDefault="00785863" w:rsidP="00785863">
      <w:pPr>
        <w:pStyle w:val="H23G"/>
        <w:tabs>
          <w:tab w:val="clear" w:pos="851"/>
        </w:tabs>
        <w:ind w:firstLine="0"/>
      </w:pPr>
      <w:r w:rsidRPr="00454270">
        <w:t xml:space="preserve">Peine de mort </w:t>
      </w:r>
    </w:p>
    <w:p w:rsidR="00785863" w:rsidRPr="00F61362" w:rsidRDefault="00093F02" w:rsidP="00093F02">
      <w:pPr>
        <w:pStyle w:val="SingleTxtG"/>
        <w:kinsoku/>
        <w:overflowPunct/>
        <w:autoSpaceDE/>
        <w:autoSpaceDN/>
        <w:adjustRightInd/>
        <w:snapToGrid/>
      </w:pPr>
      <w:r w:rsidRPr="00F61362">
        <w:t>21.</w:t>
      </w:r>
      <w:r w:rsidRPr="00F61362">
        <w:tab/>
      </w:r>
      <w:r w:rsidR="00785863" w:rsidRPr="00454270">
        <w:t xml:space="preserve">Tout en saluant le moratoire officiel sur les exécutions appliqué par l’État partie </w:t>
      </w:r>
      <w:r w:rsidR="00770554" w:rsidRPr="00454270">
        <w:t>depuis</w:t>
      </w:r>
      <w:r w:rsidR="00785863" w:rsidRPr="00454270">
        <w:t xml:space="preserve"> 2007 et l’absence d’exécutions depuis 1988, le Comité demeure préoccupé par le fait que des condamnations à mort sont encore prononcées (art. 6).</w:t>
      </w:r>
    </w:p>
    <w:p w:rsidR="00785863" w:rsidRPr="007479F3" w:rsidRDefault="00093F02" w:rsidP="00093F02">
      <w:pPr>
        <w:pStyle w:val="SingleTxtG"/>
        <w:kinsoku/>
        <w:overflowPunct/>
        <w:autoSpaceDE/>
        <w:autoSpaceDN/>
        <w:adjustRightInd/>
        <w:snapToGrid/>
        <w:rPr>
          <w:b/>
          <w:bCs/>
        </w:rPr>
      </w:pPr>
      <w:r w:rsidRPr="007479F3">
        <w:rPr>
          <w:bCs/>
        </w:rPr>
        <w:t>22.</w:t>
      </w:r>
      <w:r w:rsidRPr="007479F3">
        <w:rPr>
          <w:bCs/>
        </w:rPr>
        <w:tab/>
      </w:r>
      <w:r w:rsidR="00785863" w:rsidRPr="00454270">
        <w:rPr>
          <w:b/>
          <w:bCs/>
        </w:rPr>
        <w:t xml:space="preserve">L’État partie devrait </w:t>
      </w:r>
      <w:r w:rsidR="00212C81">
        <w:rPr>
          <w:b/>
          <w:bCs/>
        </w:rPr>
        <w:t>poursuivre</w:t>
      </w:r>
      <w:r w:rsidR="00785863" w:rsidRPr="00454270">
        <w:rPr>
          <w:b/>
          <w:bCs/>
        </w:rPr>
        <w:t xml:space="preserve"> le processus politique et législatif visant à l’abolition de la peine de mort  et les efforts de sensibilisation </w:t>
      </w:r>
      <w:r w:rsidR="00155CCB">
        <w:rPr>
          <w:b/>
          <w:bCs/>
        </w:rPr>
        <w:t xml:space="preserve">de l’opinion publique </w:t>
      </w:r>
      <w:r w:rsidR="00785863" w:rsidRPr="00454270">
        <w:rPr>
          <w:b/>
          <w:bCs/>
        </w:rPr>
        <w:t xml:space="preserve">et </w:t>
      </w:r>
      <w:r w:rsidR="00F47FA7">
        <w:rPr>
          <w:b/>
          <w:bCs/>
        </w:rPr>
        <w:t>les campagnes</w:t>
      </w:r>
      <w:r w:rsidR="00785863" w:rsidRPr="00454270">
        <w:rPr>
          <w:b/>
          <w:bCs/>
        </w:rPr>
        <w:t xml:space="preserve"> en faveur de  son abolition. Il devrait par ailleurs envisager d’adhérer au deuxième Protocole facultatif se rapportant au Pacte, visant à abolir la peine de mort. </w:t>
      </w:r>
    </w:p>
    <w:p w:rsidR="00785863" w:rsidRPr="007479F3" w:rsidRDefault="00785863" w:rsidP="00785863">
      <w:pPr>
        <w:pStyle w:val="H23G"/>
        <w:tabs>
          <w:tab w:val="clear" w:pos="851"/>
        </w:tabs>
        <w:ind w:firstLine="0"/>
      </w:pPr>
      <w:r w:rsidRPr="007479F3">
        <w:t>Vindicte p</w:t>
      </w:r>
      <w:r>
        <w:t>opulaire et milices d’autodéfense</w:t>
      </w:r>
    </w:p>
    <w:p w:rsidR="00785863" w:rsidRPr="007479F3" w:rsidRDefault="00093F02" w:rsidP="00093F02">
      <w:pPr>
        <w:pStyle w:val="SingleTxtG"/>
        <w:kinsoku/>
        <w:overflowPunct/>
        <w:autoSpaceDE/>
        <w:autoSpaceDN/>
        <w:adjustRightInd/>
        <w:snapToGrid/>
      </w:pPr>
      <w:r w:rsidRPr="007479F3">
        <w:t>23.</w:t>
      </w:r>
      <w:r w:rsidRPr="007479F3">
        <w:tab/>
      </w:r>
      <w:r w:rsidR="00785863" w:rsidRPr="007479F3">
        <w:t xml:space="preserve">Le Comité est préoccupé </w:t>
      </w:r>
      <w:r w:rsidR="00785863">
        <w:t>par le fait que</w:t>
      </w:r>
      <w:r w:rsidR="00785863" w:rsidRPr="007479F3">
        <w:t xml:space="preserve"> l’augmentation du sentiment d’insécurité et la défiance envers la justice se tradui</w:t>
      </w:r>
      <w:r w:rsidR="00785863">
        <w:t>se</w:t>
      </w:r>
      <w:r w:rsidR="00785863" w:rsidRPr="007479F3">
        <w:t xml:space="preserve"> par des cas de vindicte populaire et de lynchage de personnes</w:t>
      </w:r>
      <w:r w:rsidR="00785863">
        <w:t xml:space="preserve"> soupçonnées d’infractions et</w:t>
      </w:r>
      <w:r w:rsidR="00785863" w:rsidRPr="007479F3">
        <w:t xml:space="preserve"> l’apparition de milices d’autodéfense, </w:t>
      </w:r>
      <w:r w:rsidR="00785863">
        <w:t xml:space="preserve">notamment </w:t>
      </w:r>
      <w:r w:rsidR="00785863">
        <w:lastRenderedPageBreak/>
        <w:t>les « </w:t>
      </w:r>
      <w:proofErr w:type="spellStart"/>
      <w:r w:rsidR="00785863">
        <w:t>K</w:t>
      </w:r>
      <w:r w:rsidR="00785863" w:rsidRPr="00DF6A56">
        <w:t>oglweogo</w:t>
      </w:r>
      <w:proofErr w:type="spellEnd"/>
      <w:r w:rsidR="00785863" w:rsidRPr="00DF6A56">
        <w:t> », dont certaines se livreraient à des extorsions de fonds,</w:t>
      </w:r>
      <w:r w:rsidR="00785863" w:rsidRPr="007479F3">
        <w:t xml:space="preserve"> arrestations et détentions illégales, sévices corporels et meurtres notamment. Le Comité note </w:t>
      </w:r>
      <w:r w:rsidR="00785863">
        <w:t xml:space="preserve">avec préoccupation </w:t>
      </w:r>
      <w:r w:rsidR="00785863" w:rsidRPr="007479F3">
        <w:t>l’intention de l’</w:t>
      </w:r>
      <w:r w:rsidR="00FA441F">
        <w:t>État</w:t>
      </w:r>
      <w:r w:rsidR="00785863" w:rsidRPr="007479F3">
        <w:t xml:space="preserve"> partie, confirmées par la délégation, de réorganiser les structures communautaires de sécurité, </w:t>
      </w:r>
      <w:r w:rsidR="00785863">
        <w:t xml:space="preserve">d’y intégrer les milices d’autodéfense, </w:t>
      </w:r>
      <w:r w:rsidR="00785863" w:rsidRPr="007479F3">
        <w:t xml:space="preserve">de les former et de les encadrer afin qu’elles travaillent en synergie avec les forces de défense et de sécurité nationale (arts. 6, 7 et 14). </w:t>
      </w:r>
    </w:p>
    <w:p w:rsidR="00785863" w:rsidRPr="007479F3" w:rsidRDefault="00093F02" w:rsidP="00093F02">
      <w:pPr>
        <w:pStyle w:val="SingleTxtG"/>
        <w:kinsoku/>
        <w:overflowPunct/>
        <w:autoSpaceDE/>
        <w:autoSpaceDN/>
        <w:adjustRightInd/>
        <w:snapToGrid/>
        <w:rPr>
          <w:b/>
        </w:rPr>
      </w:pPr>
      <w:r w:rsidRPr="007479F3">
        <w:t>24.</w:t>
      </w:r>
      <w:r w:rsidRPr="007479F3">
        <w:tab/>
      </w:r>
      <w:r w:rsidR="00785863" w:rsidRPr="007479F3">
        <w:rPr>
          <w:b/>
        </w:rPr>
        <w:t>L’</w:t>
      </w:r>
      <w:r w:rsidR="00FA441F">
        <w:rPr>
          <w:b/>
        </w:rPr>
        <w:t>État</w:t>
      </w:r>
      <w:r w:rsidR="00785863" w:rsidRPr="007479F3">
        <w:rPr>
          <w:b/>
        </w:rPr>
        <w:t xml:space="preserve"> partie devrait : (a) renforcer la présence des forces de défense et de sécurité nationales afin de garantir la sécurité de la population sur l’ensemble de son territoire et éviter que les milices d’autodéfense, et notamment les </w:t>
      </w:r>
      <w:r w:rsidR="00785863">
        <w:rPr>
          <w:b/>
        </w:rPr>
        <w:t>« </w:t>
      </w:r>
      <w:proofErr w:type="spellStart"/>
      <w:r w:rsidR="00785863" w:rsidRPr="007479F3">
        <w:rPr>
          <w:b/>
        </w:rPr>
        <w:t>Koglweogo</w:t>
      </w:r>
      <w:proofErr w:type="spellEnd"/>
      <w:r w:rsidR="00785863">
        <w:rPr>
          <w:b/>
        </w:rPr>
        <w:t> »</w:t>
      </w:r>
      <w:r w:rsidR="00785863" w:rsidRPr="007479F3">
        <w:rPr>
          <w:b/>
        </w:rPr>
        <w:t>, se substituent à l’</w:t>
      </w:r>
      <w:r w:rsidR="00FA441F">
        <w:rPr>
          <w:b/>
        </w:rPr>
        <w:t>État</w:t>
      </w:r>
      <w:r w:rsidR="00785863" w:rsidRPr="007479F3">
        <w:rPr>
          <w:b/>
        </w:rPr>
        <w:t xml:space="preserve"> et exécutent des missions de maintien de l’ordre; (b) conduire des enquêtes et poursuivre tous les auteurs présumés de violations de droits de l’homme et, s’ils sont reconnus coupables, les </w:t>
      </w:r>
      <w:r w:rsidR="00785863" w:rsidRPr="007479F3">
        <w:rPr>
          <w:b/>
          <w:bCs/>
        </w:rPr>
        <w:t xml:space="preserve">condamner à des sanctions appropriées; et (c) </w:t>
      </w:r>
      <w:r w:rsidR="00785863" w:rsidRPr="007479F3">
        <w:rPr>
          <w:b/>
        </w:rPr>
        <w:t>mener des campagnes de sensibilisation sur l’illégalité de la justice expéditive et populaire et sur la responsabilité pénale des auteurs.</w:t>
      </w:r>
    </w:p>
    <w:p w:rsidR="00785863" w:rsidRPr="007479F3" w:rsidRDefault="00785863" w:rsidP="00785863">
      <w:pPr>
        <w:pStyle w:val="H23G"/>
        <w:tabs>
          <w:tab w:val="clear" w:pos="851"/>
        </w:tabs>
        <w:ind w:firstLine="0"/>
      </w:pPr>
      <w:r>
        <w:t xml:space="preserve">Violences lors de troubles sociopolitiques </w:t>
      </w:r>
    </w:p>
    <w:p w:rsidR="00785863" w:rsidRPr="007479F3" w:rsidRDefault="00093F02" w:rsidP="00093F02">
      <w:pPr>
        <w:pStyle w:val="SingleTxtG"/>
        <w:kinsoku/>
        <w:overflowPunct/>
        <w:autoSpaceDE/>
        <w:autoSpaceDN/>
        <w:adjustRightInd/>
        <w:snapToGrid/>
      </w:pPr>
      <w:r w:rsidRPr="007479F3">
        <w:t>25.</w:t>
      </w:r>
      <w:r w:rsidRPr="007479F3">
        <w:tab/>
      </w:r>
      <w:r w:rsidR="00785863" w:rsidRPr="007479F3">
        <w:t xml:space="preserve">Le Comité est préoccupé par les </w:t>
      </w:r>
      <w:r w:rsidR="00785863">
        <w:t xml:space="preserve">allégations faisant état d’un certain nombre de violations des droits de l’homme commises par l’armée, </w:t>
      </w:r>
      <w:r w:rsidR="00785863" w:rsidRPr="007479F3">
        <w:t xml:space="preserve">y compris le Régiment de sécurité présidentielle, la gendarmerie, </w:t>
      </w:r>
      <w:r w:rsidR="00785863">
        <w:t>et la garde pénitentiaire lors de troubles politiques et sociaux des dernières années, en particulier l</w:t>
      </w:r>
      <w:r w:rsidR="00785863" w:rsidRPr="007479F3">
        <w:t>’usage excessif et disproportionné de la force ayant entraîné des dommages corporels et des morts</w:t>
      </w:r>
      <w:r w:rsidR="00785863">
        <w:t> et les entraves à des rassemblements pacifiques. Il</w:t>
      </w:r>
      <w:r w:rsidR="00785863" w:rsidRPr="00B11DA1">
        <w:t xml:space="preserve"> </w:t>
      </w:r>
      <w:r w:rsidR="00785863">
        <w:t>note par ailleurs</w:t>
      </w:r>
      <w:r w:rsidR="00785863" w:rsidRPr="00B11DA1">
        <w:t xml:space="preserve"> </w:t>
      </w:r>
      <w:r w:rsidR="00785863">
        <w:t xml:space="preserve">avec </w:t>
      </w:r>
      <w:r w:rsidR="00785863" w:rsidRPr="00DF6A56">
        <w:t>préoccupation les informations selon lesquelles certains organes de presse, journalistes, figures d’opposition et défenseurs des droits de l’homme ont fait l’objet de menaces, d’actes de harcèlement et d’intimidation et les restrictions excessives à la liberté d’expression imposées par le Conseil supérieur de la communication durant la période de transition (art</w:t>
      </w:r>
      <w:r w:rsidR="00DC2E75">
        <w:t>s</w:t>
      </w:r>
      <w:r w:rsidR="00785863" w:rsidRPr="00DF6A56">
        <w:t>. 7, 9, 19, 21 et 25).</w:t>
      </w:r>
    </w:p>
    <w:p w:rsidR="00785863" w:rsidRPr="00B11DA1" w:rsidRDefault="00093F02" w:rsidP="00093F02">
      <w:pPr>
        <w:pStyle w:val="SingleTxtG"/>
        <w:kinsoku/>
        <w:overflowPunct/>
        <w:autoSpaceDE/>
        <w:autoSpaceDN/>
        <w:adjustRightInd/>
        <w:snapToGrid/>
        <w:spacing w:after="0"/>
        <w:rPr>
          <w:b/>
          <w:color w:val="1F497D" w:themeColor="text2"/>
        </w:rPr>
      </w:pPr>
      <w:r w:rsidRPr="00B11DA1">
        <w:t>26.</w:t>
      </w:r>
      <w:r w:rsidRPr="00B11DA1">
        <w:tab/>
      </w:r>
      <w:r w:rsidR="00785863" w:rsidRPr="00B11DA1">
        <w:rPr>
          <w:b/>
          <w:bCs/>
        </w:rPr>
        <w:t xml:space="preserve">L’État partie devrait prendre des mesures efficaces, notamment en matière de formation, pour empêcher que les membres des forces de l’ordre, des forces de sécurité et de la garde pénitentiaire ne fassent un usage excessif et disproportionné de la </w:t>
      </w:r>
      <w:r w:rsidR="009323E1" w:rsidRPr="00B11DA1">
        <w:rPr>
          <w:b/>
          <w:bCs/>
        </w:rPr>
        <w:t>force</w:t>
      </w:r>
      <w:r w:rsidR="009323E1">
        <w:rPr>
          <w:b/>
          <w:bCs/>
        </w:rPr>
        <w:t>, compte</w:t>
      </w:r>
      <w:r w:rsidR="00DF0154">
        <w:rPr>
          <w:b/>
          <w:bCs/>
        </w:rPr>
        <w:t xml:space="preserve"> dûment tenu des </w:t>
      </w:r>
      <w:r w:rsidR="00785863" w:rsidRPr="00B11DA1">
        <w:rPr>
          <w:b/>
          <w:bCs/>
        </w:rPr>
        <w:t xml:space="preserve">Principes de base des Nations Unies </w:t>
      </w:r>
      <w:r w:rsidR="009323E1">
        <w:rPr>
          <w:b/>
          <w:bCs/>
        </w:rPr>
        <w:t>relatifs au</w:t>
      </w:r>
      <w:r w:rsidR="00785863" w:rsidRPr="00B11DA1">
        <w:rPr>
          <w:b/>
          <w:bCs/>
        </w:rPr>
        <w:t xml:space="preserve"> recours à la force et l’utilisation des armes à feu par les responsables de l’application des lois.  </w:t>
      </w:r>
      <w:r w:rsidR="00785863">
        <w:rPr>
          <w:b/>
          <w:bCs/>
        </w:rPr>
        <w:t>Il devrait par ailleurs</w:t>
      </w:r>
      <w:r w:rsidR="00785863" w:rsidRPr="00B11DA1">
        <w:rPr>
          <w:b/>
          <w:bCs/>
        </w:rPr>
        <w:t xml:space="preserve"> redoubler d’efforts pour que toutes les allégations </w:t>
      </w:r>
      <w:r w:rsidR="00785863">
        <w:rPr>
          <w:b/>
          <w:bCs/>
        </w:rPr>
        <w:t xml:space="preserve">de violations </w:t>
      </w:r>
      <w:r w:rsidR="002A03A8">
        <w:rPr>
          <w:b/>
          <w:bCs/>
        </w:rPr>
        <w:t xml:space="preserve">graves </w:t>
      </w:r>
      <w:r w:rsidR="00785863">
        <w:rPr>
          <w:b/>
          <w:bCs/>
        </w:rPr>
        <w:t>des droits de l’homme</w:t>
      </w:r>
      <w:r w:rsidR="00785863" w:rsidRPr="00B11DA1">
        <w:rPr>
          <w:b/>
          <w:bCs/>
        </w:rPr>
        <w:t xml:space="preserve"> </w:t>
      </w:r>
      <w:r w:rsidR="002A03A8">
        <w:rPr>
          <w:b/>
          <w:bCs/>
        </w:rPr>
        <w:t xml:space="preserve">commises par l’armée, y compris le Régiment de sécurité présidentielle, la gendarmerie et la garde pénitentiaire </w:t>
      </w:r>
      <w:r w:rsidR="00785863" w:rsidRPr="00B11DA1">
        <w:rPr>
          <w:b/>
          <w:bCs/>
        </w:rPr>
        <w:t>fassent rapidement l’objet d’une enquête approfondie et impartiale, que les auteurs de ces violations soient poursuivis et dûment sanctionnés et que les victimes reçoivent une indemnisation adéquate.</w:t>
      </w:r>
      <w:r w:rsidR="00785863">
        <w:rPr>
          <w:b/>
          <w:bCs/>
        </w:rPr>
        <w:t xml:space="preserve"> </w:t>
      </w:r>
    </w:p>
    <w:p w:rsidR="00785863" w:rsidRPr="00B11DA1" w:rsidRDefault="00785863" w:rsidP="00785863">
      <w:pPr>
        <w:pStyle w:val="H23G"/>
        <w:tabs>
          <w:tab w:val="clear" w:pos="851"/>
        </w:tabs>
        <w:ind w:firstLine="0"/>
      </w:pPr>
      <w:r w:rsidRPr="00B11DA1">
        <w:t>Interdiction de la torture et des mauvais traitements</w:t>
      </w:r>
    </w:p>
    <w:p w:rsidR="00785863" w:rsidRPr="00093F02" w:rsidRDefault="00093F02" w:rsidP="00093F02">
      <w:pPr>
        <w:pStyle w:val="SingleTxtG"/>
      </w:pPr>
      <w:r w:rsidRPr="00093F02">
        <w:t>27.</w:t>
      </w:r>
      <w:r w:rsidRPr="00093F02">
        <w:tab/>
      </w:r>
      <w:r w:rsidR="00785863" w:rsidRPr="00093F02">
        <w:t xml:space="preserve">Le Comité est préoccupé les allégations faisant état de torture et de mauvais traitements infligés par des membres des forces de l’ordre, des forces armées et par des agents pénitentiaires, notamment au service régional de la police judiciaire de </w:t>
      </w:r>
      <w:proofErr w:type="spellStart"/>
      <w:r w:rsidR="00785863" w:rsidRPr="00093F02">
        <w:t>Wemtenga</w:t>
      </w:r>
      <w:proofErr w:type="spellEnd"/>
      <w:r w:rsidR="00785863" w:rsidRPr="00093F02">
        <w:t>. Le Comité demeure également préoccupé par les informations selon lesquelles les dispositions légales consacrant l’inadmissibilité des aveux obtenus sous la torture comme preuve devant les tribunaux ne seraient pas toujours respectées. Il regrette par ailleurs que l’Observatoire national de prévention de la torture et autres pratiques assimilées prévu par la loi précitée ne soit pas encore opérationnel  (art</w:t>
      </w:r>
      <w:r w:rsidR="00DC2E75">
        <w:t>s</w:t>
      </w:r>
      <w:r w:rsidR="00785863" w:rsidRPr="00093F02">
        <w:t>. 7, 10 et 14).</w:t>
      </w:r>
    </w:p>
    <w:p w:rsidR="00785863" w:rsidRPr="00093F02" w:rsidRDefault="00093F02" w:rsidP="00093F02">
      <w:pPr>
        <w:pStyle w:val="SingleTxtG"/>
        <w:rPr>
          <w:b/>
        </w:rPr>
      </w:pPr>
      <w:r w:rsidRPr="00093F02">
        <w:rPr>
          <w:b/>
        </w:rPr>
        <w:t>28.</w:t>
      </w:r>
      <w:r w:rsidRPr="00093F02">
        <w:rPr>
          <w:b/>
        </w:rPr>
        <w:tab/>
      </w:r>
      <w:r w:rsidR="00785863" w:rsidRPr="00093F02">
        <w:rPr>
          <w:b/>
        </w:rPr>
        <w:t xml:space="preserve">L’État partie devrait : (a) veiller à prévenir la torture, notamment en renforçant la formation des acteurs de la justice, de la défense et de la sécurité ; (b) s’assurer que les cas présumés de torture et de mauvais traitements commis par les forces de l’ordre, les forces armées et les agents pénitentiaires fassent l’objet d’une </w:t>
      </w:r>
      <w:r w:rsidR="00785863" w:rsidRPr="00093F02">
        <w:rPr>
          <w:b/>
        </w:rPr>
        <w:lastRenderedPageBreak/>
        <w:t xml:space="preserve">enquête approfondie, que les responsables soient poursuivis et, s’ils sont reconnus coupables, condamnés à des peines appropriées, et que les victimes soient dûment indemnisées et se voient proposer des mesures de réadaptation ; (c) garantir que les aveux obtenus sous la torture soient systématiquement rejetés par les tribunaux, conformément à sa législation et à l’article 14 du Pacte ; et (d) adopter dans les meilleurs délais les décrets </w:t>
      </w:r>
      <w:r w:rsidR="00F47FA7" w:rsidRPr="00093F02">
        <w:rPr>
          <w:b/>
        </w:rPr>
        <w:t xml:space="preserve">de mise en œuvre </w:t>
      </w:r>
      <w:r w:rsidR="00785863" w:rsidRPr="00093F02">
        <w:rPr>
          <w:b/>
        </w:rPr>
        <w:t xml:space="preserve">de l’Observatoire national de prévention de la torture et autres pratiques assimilées. </w:t>
      </w:r>
    </w:p>
    <w:p w:rsidR="00785863" w:rsidRPr="00FD1975" w:rsidRDefault="00785863" w:rsidP="00785863">
      <w:pPr>
        <w:pStyle w:val="H23G"/>
        <w:tabs>
          <w:tab w:val="clear" w:pos="851"/>
        </w:tabs>
        <w:ind w:firstLine="0"/>
      </w:pPr>
      <w:r w:rsidRPr="00FD1975">
        <w:t>Garde à vue, détention préventive et garanties juridiques fondamentales</w:t>
      </w:r>
    </w:p>
    <w:p w:rsidR="00785863" w:rsidRPr="00FD1975" w:rsidRDefault="00093F02" w:rsidP="00093F02">
      <w:pPr>
        <w:pStyle w:val="SingleTxtG"/>
        <w:kinsoku/>
        <w:overflowPunct/>
        <w:autoSpaceDE/>
        <w:autoSpaceDN/>
        <w:adjustRightInd/>
        <w:snapToGrid/>
      </w:pPr>
      <w:r w:rsidRPr="00FD1975">
        <w:t>29.</w:t>
      </w:r>
      <w:r w:rsidRPr="00FD1975">
        <w:tab/>
      </w:r>
      <w:r w:rsidR="00785863" w:rsidRPr="00FD1975">
        <w:t xml:space="preserve">Tout en saluant l’adoption de la circulaire No 2015-004/MJDHPC/CAB du 5 mars 2015 prévoyant le droit d’être assisté par un avocat dès l’enquête préliminaire, et l’interdiction des ordres de mise à disposition, le Comité demeure préoccupé par les informations faisant état d’arrestations et </w:t>
      </w:r>
      <w:r w:rsidR="00DC2E75">
        <w:t>de gardes à vue abusives et par</w:t>
      </w:r>
      <w:r w:rsidR="00785863" w:rsidRPr="00FD1975">
        <w:rPr>
          <w:bCs/>
          <w:lang w:val="fr-FR"/>
        </w:rPr>
        <w:t xml:space="preserve"> </w:t>
      </w:r>
      <w:r w:rsidR="00785863" w:rsidRPr="00FD1975">
        <w:t>le recours excessif à la détention préventive qui est l’une des causes principales de la surpopulation carcérale (arts. 9, 10 et 14).</w:t>
      </w:r>
    </w:p>
    <w:p w:rsidR="00785863" w:rsidRPr="00721032" w:rsidRDefault="00093F02" w:rsidP="00093F02">
      <w:pPr>
        <w:pStyle w:val="SingleTxtG"/>
        <w:kinsoku/>
        <w:overflowPunct/>
        <w:autoSpaceDE/>
        <w:autoSpaceDN/>
        <w:adjustRightInd/>
        <w:snapToGrid/>
        <w:spacing w:after="0"/>
        <w:rPr>
          <w:b/>
          <w:bCs/>
        </w:rPr>
      </w:pPr>
      <w:r w:rsidRPr="00721032">
        <w:rPr>
          <w:bCs/>
        </w:rPr>
        <w:t>30.</w:t>
      </w:r>
      <w:r w:rsidRPr="00721032">
        <w:rPr>
          <w:bCs/>
        </w:rPr>
        <w:tab/>
      </w:r>
      <w:r w:rsidR="00DC2E75">
        <w:rPr>
          <w:b/>
          <w:bCs/>
        </w:rPr>
        <w:t>L’</w:t>
      </w:r>
      <w:r w:rsidR="00FA441F">
        <w:rPr>
          <w:b/>
          <w:bCs/>
        </w:rPr>
        <w:t>État</w:t>
      </w:r>
      <w:r w:rsidR="00DC2E75">
        <w:rPr>
          <w:b/>
          <w:bCs/>
        </w:rPr>
        <w:t xml:space="preserve"> partie devrait prendre l</w:t>
      </w:r>
      <w:r w:rsidR="00785863" w:rsidRPr="00FD1975">
        <w:rPr>
          <w:b/>
          <w:bCs/>
        </w:rPr>
        <w:t>es mesures nécessaires pour s’assurer du respect des délais de la garde à vue et de la détention préventive</w:t>
      </w:r>
      <w:r w:rsidR="00785863" w:rsidRPr="00FD1975">
        <w:rPr>
          <w:b/>
          <w:lang w:val="fr-FR"/>
        </w:rPr>
        <w:t xml:space="preserve"> </w:t>
      </w:r>
      <w:r w:rsidR="00785863" w:rsidRPr="00FD1975">
        <w:rPr>
          <w:b/>
          <w:bCs/>
          <w:lang w:val="fr-FR"/>
        </w:rPr>
        <w:t>et de l’interdiction des ordres de mise à disposition</w:t>
      </w:r>
      <w:r w:rsidR="00785863" w:rsidRPr="00FD1975">
        <w:rPr>
          <w:b/>
          <w:bCs/>
        </w:rPr>
        <w:t xml:space="preserve"> afin d’éviter des détentions abusives et excessives. </w:t>
      </w:r>
      <w:r w:rsidR="00785863" w:rsidRPr="00FD1975">
        <w:rPr>
          <w:b/>
        </w:rPr>
        <w:t xml:space="preserve"> </w:t>
      </w:r>
      <w:r w:rsidR="00785863" w:rsidRPr="00FD1975">
        <w:rPr>
          <w:b/>
          <w:bCs/>
        </w:rPr>
        <w:t xml:space="preserve">L’État partie devrait aussi garantir de manière systématique aux personnes en garde à vue, ou en détention préventive, l’information de leurs droits et l’application des garanties juridiques fondamentales, notamment le droit d’accès à un avocat dès l’enquête préliminaire et le droit de contacter un membre de sa famille ou un proche. </w:t>
      </w:r>
    </w:p>
    <w:p w:rsidR="00785863" w:rsidRPr="00FD1975" w:rsidRDefault="00785863" w:rsidP="00785863">
      <w:pPr>
        <w:pStyle w:val="H23G"/>
        <w:tabs>
          <w:tab w:val="clear" w:pos="851"/>
        </w:tabs>
        <w:ind w:firstLine="0"/>
      </w:pPr>
      <w:r w:rsidRPr="00FD1975">
        <w:t>Administration de la justice</w:t>
      </w:r>
    </w:p>
    <w:p w:rsidR="00785863" w:rsidRPr="00FD1975" w:rsidRDefault="00093F02" w:rsidP="00093F02">
      <w:pPr>
        <w:pStyle w:val="SingleTxtG"/>
        <w:kinsoku/>
        <w:overflowPunct/>
        <w:autoSpaceDE/>
        <w:autoSpaceDN/>
        <w:adjustRightInd/>
        <w:snapToGrid/>
      </w:pPr>
      <w:r w:rsidRPr="00FD1975">
        <w:t>31.</w:t>
      </w:r>
      <w:r w:rsidRPr="00FD1975">
        <w:tab/>
      </w:r>
      <w:r w:rsidR="00785863" w:rsidRPr="00FD1975">
        <w:t>Tout en saluant les mesures prises pour renforcer les capacités du système judiciaire</w:t>
      </w:r>
      <w:r w:rsidR="00785863">
        <w:t xml:space="preserve"> et en</w:t>
      </w:r>
      <w:r w:rsidR="00785863" w:rsidRPr="00FD1975">
        <w:t xml:space="preserve"> garantir </w:t>
      </w:r>
      <w:r w:rsidR="00F47FA7">
        <w:t>l’</w:t>
      </w:r>
      <w:r w:rsidR="00785863" w:rsidRPr="00FD1975">
        <w:t xml:space="preserve">indépendance et </w:t>
      </w:r>
      <w:r w:rsidR="00F47FA7">
        <w:t>l’</w:t>
      </w:r>
      <w:r w:rsidR="00785863" w:rsidRPr="00FD1975">
        <w:t xml:space="preserve">impartialité, le Comité demeure préoccupé par la persistance des allégations de corruption et par la défiance de la population vis-à-vis de l’institution judiciaire (art. 14). </w:t>
      </w:r>
    </w:p>
    <w:p w:rsidR="00785863" w:rsidRPr="00DF6A56" w:rsidRDefault="00093F02" w:rsidP="00093F02">
      <w:pPr>
        <w:pStyle w:val="SingleTxtG"/>
        <w:kinsoku/>
        <w:overflowPunct/>
        <w:autoSpaceDE/>
        <w:autoSpaceDN/>
        <w:adjustRightInd/>
        <w:snapToGrid/>
        <w:rPr>
          <w:b/>
          <w:bCs/>
        </w:rPr>
      </w:pPr>
      <w:r w:rsidRPr="00DF6A56">
        <w:rPr>
          <w:bCs/>
        </w:rPr>
        <w:t>32.</w:t>
      </w:r>
      <w:r w:rsidRPr="00DF6A56">
        <w:rPr>
          <w:bCs/>
        </w:rPr>
        <w:tab/>
      </w:r>
      <w:r w:rsidR="00785863" w:rsidRPr="00DF6A56">
        <w:rPr>
          <w:b/>
          <w:bCs/>
        </w:rPr>
        <w:t>L’</w:t>
      </w:r>
      <w:r w:rsidR="00FA441F">
        <w:rPr>
          <w:b/>
          <w:bCs/>
        </w:rPr>
        <w:t>État</w:t>
      </w:r>
      <w:r w:rsidR="00785863" w:rsidRPr="00DF6A56">
        <w:rPr>
          <w:b/>
          <w:bCs/>
        </w:rPr>
        <w:t xml:space="preserve"> partie devrait : (a) garantir de manière effective l’indépendance et l’impartialité de la justice et renforcer la lutte contre la corruption; (b) renforcer les mesures visant à garantir l’accès à la justice, notamment en poursuivant l’ouverture de nouvelles juridictions; et (</w:t>
      </w:r>
      <w:r w:rsidR="00155CCB">
        <w:rPr>
          <w:b/>
          <w:bCs/>
        </w:rPr>
        <w:t>c</w:t>
      </w:r>
      <w:r w:rsidR="00785863" w:rsidRPr="00DF6A56">
        <w:rPr>
          <w:b/>
          <w:bCs/>
        </w:rPr>
        <w:t>) allouer des ressources humaines et financières supplémentaires à l’appareil judiciaire, y compris au Fonds d’assistance judiciaire.</w:t>
      </w:r>
    </w:p>
    <w:p w:rsidR="00785863" w:rsidRPr="00FD1975" w:rsidRDefault="00785863" w:rsidP="00785863">
      <w:pPr>
        <w:pStyle w:val="H23G"/>
        <w:tabs>
          <w:tab w:val="clear" w:pos="851"/>
        </w:tabs>
        <w:ind w:firstLine="0"/>
      </w:pPr>
      <w:r w:rsidRPr="00FD1975">
        <w:t xml:space="preserve">Conditions </w:t>
      </w:r>
      <w:r>
        <w:t>carcérales</w:t>
      </w:r>
    </w:p>
    <w:p w:rsidR="00785863" w:rsidRDefault="00093F02" w:rsidP="00093F02">
      <w:pPr>
        <w:pStyle w:val="SingleTxtG"/>
        <w:kinsoku/>
        <w:overflowPunct/>
        <w:autoSpaceDE/>
        <w:autoSpaceDN/>
        <w:adjustRightInd/>
        <w:snapToGrid/>
      </w:pPr>
      <w:r>
        <w:t>33.</w:t>
      </w:r>
      <w:r>
        <w:tab/>
      </w:r>
      <w:r w:rsidR="00785863" w:rsidRPr="00FD1975">
        <w:t>Le Comité est préoccupé par les conditions de détention inadéquates dans la quasi-totalité des établissements pénitentiaires de l’État partie. Il est particulièrement préoccupé par le taux très élevé de la surpopulation carcérale et le pourcentage élevé des personnes en détention préventive. Le Comité est, en outre, préoccupé par les informations faisant état de conditions sanitaires insatisfaisantes, de soins médicaux inadéquats et de la mauvaise qualité de l’alimentation servie aux détenus. Le Comité est, enfin, préoccupé par le fait qu’en raison de la surpopulation carcérale la séparation des détenus n’est pas respectée entre prévenus et condamnés. Il regrette l’absence d’un mécanisme adéquat chargé de recevoir les plaintes des détenus (arts. 9 et 10).</w:t>
      </w:r>
    </w:p>
    <w:p w:rsidR="00785863" w:rsidRPr="00FD1975" w:rsidRDefault="00093F02" w:rsidP="00093F02">
      <w:pPr>
        <w:pStyle w:val="SingleTxtG"/>
        <w:kinsoku/>
        <w:overflowPunct/>
        <w:autoSpaceDE/>
        <w:autoSpaceDN/>
        <w:adjustRightInd/>
        <w:snapToGrid/>
        <w:spacing w:after="0"/>
        <w:rPr>
          <w:b/>
          <w:bCs/>
        </w:rPr>
      </w:pPr>
      <w:r w:rsidRPr="00FD1975">
        <w:rPr>
          <w:bCs/>
        </w:rPr>
        <w:t>34.</w:t>
      </w:r>
      <w:r w:rsidRPr="00FD1975">
        <w:rPr>
          <w:bCs/>
        </w:rPr>
        <w:tab/>
      </w:r>
      <w:r w:rsidR="00785863" w:rsidRPr="00FD1975">
        <w:rPr>
          <w:b/>
          <w:bCs/>
        </w:rPr>
        <w:t>L’État partie devrait redoubler d’efforts pour améliorer les conditions de vie et le traitement des détenus</w:t>
      </w:r>
      <w:r w:rsidR="00785863" w:rsidRPr="00FD1975">
        <w:rPr>
          <w:b/>
          <w:lang w:val="fr-FR"/>
        </w:rPr>
        <w:t xml:space="preserve">, </w:t>
      </w:r>
      <w:r w:rsidR="00785863" w:rsidRPr="00FD1975">
        <w:rPr>
          <w:b/>
          <w:bCs/>
        </w:rPr>
        <w:t>y compris l’accès à des soins médicaux adéquats et la séparation des détenus selon le régime de détention,</w:t>
      </w:r>
      <w:r w:rsidR="00785863" w:rsidRPr="00FD1975">
        <w:rPr>
          <w:b/>
          <w:lang w:val="fr-FR"/>
        </w:rPr>
        <w:t xml:space="preserve"> conformément à l’Ensemble de règles minima des Nations Unies pour le traitement des détenus</w:t>
      </w:r>
      <w:r w:rsidR="000D561E">
        <w:rPr>
          <w:b/>
          <w:lang w:val="fr-FR"/>
        </w:rPr>
        <w:t xml:space="preserve"> (directives Nelson Mandela)</w:t>
      </w:r>
      <w:r w:rsidR="00785863" w:rsidRPr="00FD1975">
        <w:rPr>
          <w:b/>
          <w:lang w:val="fr-FR"/>
        </w:rPr>
        <w:t>. Il devrait également</w:t>
      </w:r>
      <w:r w:rsidR="00785863" w:rsidRPr="00FD1975">
        <w:rPr>
          <w:b/>
          <w:bCs/>
        </w:rPr>
        <w:t xml:space="preserve"> </w:t>
      </w:r>
      <w:r w:rsidR="00785863" w:rsidRPr="00FD1975">
        <w:rPr>
          <w:b/>
          <w:lang w:val="fr-FR"/>
        </w:rPr>
        <w:t xml:space="preserve">poursuivre les efforts visant à remédier au problème </w:t>
      </w:r>
      <w:r w:rsidR="00785863" w:rsidRPr="00FD1975">
        <w:rPr>
          <w:b/>
          <w:lang w:val="fr-FR"/>
        </w:rPr>
        <w:lastRenderedPageBreak/>
        <w:t xml:space="preserve">de la surpopulation carcérale, notamment en mettant en place une réelle politique de recours aux peines alternatives à la privation de liberté. </w:t>
      </w:r>
    </w:p>
    <w:p w:rsidR="00785863" w:rsidRPr="00FD1975" w:rsidRDefault="00785863" w:rsidP="00785863">
      <w:pPr>
        <w:pStyle w:val="H23G"/>
        <w:tabs>
          <w:tab w:val="clear" w:pos="851"/>
        </w:tabs>
        <w:ind w:firstLine="0"/>
      </w:pPr>
      <w:r w:rsidRPr="00FD1975">
        <w:t>Traite des êtres humains et travail des enfants</w:t>
      </w:r>
    </w:p>
    <w:p w:rsidR="00785863" w:rsidRPr="00FD1975" w:rsidRDefault="00093F02" w:rsidP="00093F02">
      <w:pPr>
        <w:pStyle w:val="SingleTxtG"/>
        <w:kinsoku/>
        <w:overflowPunct/>
        <w:autoSpaceDE/>
        <w:autoSpaceDN/>
        <w:adjustRightInd/>
        <w:snapToGrid/>
        <w:rPr>
          <w:b/>
          <w:bCs/>
        </w:rPr>
      </w:pPr>
      <w:r w:rsidRPr="00FD1975">
        <w:rPr>
          <w:bCs/>
        </w:rPr>
        <w:t>35.</w:t>
      </w:r>
      <w:r w:rsidRPr="00FD1975">
        <w:rPr>
          <w:bCs/>
        </w:rPr>
        <w:tab/>
      </w:r>
      <w:r w:rsidR="00785863" w:rsidRPr="00FD1975">
        <w:t xml:space="preserve">Le Comité demeure préoccupé par le phénomène de la traite des personnes à des fins d’exploitation sexuelle ou de travail forcé dans l’État partie et le manque de données officielles sur son ampleur. </w:t>
      </w:r>
      <w:r w:rsidR="00785863" w:rsidRPr="00FD1975">
        <w:rPr>
          <w:bCs/>
        </w:rPr>
        <w:t xml:space="preserve">Le Comité est par ailleurs préoccupé par les dispositions de la Loi No 011-2014/AN portant répression de la vente d’enfants, de la prostitution des enfants et de la pornographie mettant en scène des enfants permettant à un coupable de payer une amende à la place d’une peine d’emprisonnement. </w:t>
      </w:r>
      <w:r w:rsidR="00785863" w:rsidRPr="00FD1975">
        <w:t>Le Comité est également préoccupé par l’ampleur et la persistance de l’exploitation des enfants à des fins de mendicité et l’exploitation des enfants par le travail forcé, en particulier comme travailleurs domestiques ou pour des travaux dangereux, notamment dans l’extraction minière artisanale, dans le secteur agricole et les débits de boisson (arts. 8 et 24)</w:t>
      </w:r>
      <w:r w:rsidR="009B3703">
        <w:t>.</w:t>
      </w:r>
    </w:p>
    <w:p w:rsidR="00785863" w:rsidRPr="00F61362" w:rsidRDefault="00093F02" w:rsidP="00093F02">
      <w:pPr>
        <w:pStyle w:val="SingleTxtG"/>
        <w:kinsoku/>
        <w:overflowPunct/>
        <w:autoSpaceDE/>
        <w:autoSpaceDN/>
        <w:adjustRightInd/>
        <w:snapToGrid/>
        <w:spacing w:after="0"/>
        <w:rPr>
          <w:b/>
          <w:bCs/>
        </w:rPr>
      </w:pPr>
      <w:r w:rsidRPr="00F61362">
        <w:rPr>
          <w:bCs/>
        </w:rPr>
        <w:t>36.</w:t>
      </w:r>
      <w:r w:rsidRPr="00F61362">
        <w:rPr>
          <w:bCs/>
        </w:rPr>
        <w:tab/>
      </w:r>
      <w:r w:rsidR="009B3703">
        <w:rPr>
          <w:b/>
          <w:bCs/>
        </w:rPr>
        <w:t>L’État partie devrait : a) p</w:t>
      </w:r>
      <w:r w:rsidR="00785863" w:rsidRPr="00F61362">
        <w:rPr>
          <w:b/>
          <w:bCs/>
        </w:rPr>
        <w:t>oursuivre ses efforts pour sensibiliser la population</w:t>
      </w:r>
      <w:r w:rsidR="000D561E">
        <w:rPr>
          <w:b/>
          <w:bCs/>
        </w:rPr>
        <w:t xml:space="preserve"> et </w:t>
      </w:r>
      <w:r w:rsidR="00E768FE">
        <w:rPr>
          <w:b/>
          <w:bCs/>
        </w:rPr>
        <w:t>l</w:t>
      </w:r>
      <w:r w:rsidR="000D561E">
        <w:rPr>
          <w:b/>
          <w:bCs/>
        </w:rPr>
        <w:t>es personnes impliquées dans le système de justice pénale</w:t>
      </w:r>
      <w:r w:rsidR="00785863" w:rsidRPr="00F61362">
        <w:rPr>
          <w:b/>
          <w:bCs/>
        </w:rPr>
        <w:t xml:space="preserve"> au phénomène de la traite et aux risques d’exploitat</w:t>
      </w:r>
      <w:r w:rsidR="009B3703">
        <w:rPr>
          <w:b/>
          <w:bCs/>
        </w:rPr>
        <w:t>ion économique et sexuelle; b) a</w:t>
      </w:r>
      <w:r w:rsidR="00785863" w:rsidRPr="00F61362">
        <w:rPr>
          <w:b/>
          <w:bCs/>
        </w:rPr>
        <w:t xml:space="preserve">ppliquer rigoureusement les dispositions légales et règlementaires relatives à la traite, au travail et à l’exploitation des enfants en vue d’éliminer ces pratiques et renforcer les mécanismes de surveillance ; </w:t>
      </w:r>
      <w:r w:rsidR="009B3703">
        <w:rPr>
          <w:b/>
        </w:rPr>
        <w:t>c) r</w:t>
      </w:r>
      <w:r w:rsidR="00785863" w:rsidRPr="00F61362">
        <w:rPr>
          <w:b/>
        </w:rPr>
        <w:t xml:space="preserve">éviser les dispositions de la Loi No 011-2014/AN afin de garantir l’imposition de peines proportionnées à la gravité d’infractions sexuelles sur la personne d’enfants ; et </w:t>
      </w:r>
      <w:r w:rsidR="00785863" w:rsidRPr="00F61362">
        <w:rPr>
          <w:b/>
          <w:bCs/>
        </w:rPr>
        <w:t xml:space="preserve">d) </w:t>
      </w:r>
      <w:r w:rsidR="009B3703">
        <w:rPr>
          <w:b/>
          <w:bCs/>
        </w:rPr>
        <w:t>r</w:t>
      </w:r>
      <w:r w:rsidR="001935D9">
        <w:rPr>
          <w:b/>
          <w:bCs/>
        </w:rPr>
        <w:t>assembler</w:t>
      </w:r>
      <w:r w:rsidR="001935D9" w:rsidRPr="00F61362">
        <w:rPr>
          <w:b/>
          <w:bCs/>
        </w:rPr>
        <w:t xml:space="preserve"> </w:t>
      </w:r>
      <w:r w:rsidR="00785863" w:rsidRPr="00F61362">
        <w:rPr>
          <w:b/>
          <w:bCs/>
        </w:rPr>
        <w:t>des données ventilées sur l’ampleur du problème de la traite à des fins d’exploitation sexuelle et économique, le travail forcé et l’exploitation des enfants.</w:t>
      </w:r>
    </w:p>
    <w:p w:rsidR="00785863" w:rsidRPr="00B11DA1" w:rsidRDefault="00785863" w:rsidP="00785863">
      <w:pPr>
        <w:pStyle w:val="H23G"/>
        <w:tabs>
          <w:tab w:val="clear" w:pos="851"/>
        </w:tabs>
        <w:ind w:firstLine="0"/>
      </w:pPr>
      <w:r w:rsidRPr="00B11DA1">
        <w:t xml:space="preserve">Liberté </w:t>
      </w:r>
      <w:r w:rsidR="001935D9">
        <w:t xml:space="preserve">de </w:t>
      </w:r>
      <w:r w:rsidRPr="00B11DA1">
        <w:t>manifestation</w:t>
      </w:r>
      <w:r w:rsidR="00ED12AF">
        <w:t xml:space="preserve">, </w:t>
      </w:r>
      <w:r w:rsidRPr="00B11DA1">
        <w:t>présomption d’innocence</w:t>
      </w:r>
      <w:r w:rsidR="00ED12AF">
        <w:t xml:space="preserve"> et personnalité des peines</w:t>
      </w:r>
      <w:r w:rsidR="00E768FE">
        <w:t xml:space="preserve"> </w:t>
      </w:r>
    </w:p>
    <w:p w:rsidR="00785863" w:rsidRPr="00B11DA1" w:rsidRDefault="00093F02" w:rsidP="00093F02">
      <w:pPr>
        <w:pStyle w:val="SingleTxtG"/>
        <w:kinsoku/>
        <w:overflowPunct/>
        <w:autoSpaceDE/>
        <w:autoSpaceDN/>
        <w:adjustRightInd/>
        <w:snapToGrid/>
        <w:rPr>
          <w:b/>
        </w:rPr>
      </w:pPr>
      <w:r w:rsidRPr="00B11DA1">
        <w:t>37.</w:t>
      </w:r>
      <w:r w:rsidRPr="00B11DA1">
        <w:tab/>
      </w:r>
      <w:r w:rsidR="00785863">
        <w:t>Le comité</w:t>
      </w:r>
      <w:r w:rsidR="00785863" w:rsidRPr="00B11DA1">
        <w:t xml:space="preserve"> note avec préoccupation que l’article 15 de la loi No 26 du 8 mai 2008 portant répression des actes de vandalisme commis lors des manifestations sur la voie publique n’est pas conforme aux dispositions du Pacte, et notamment au principe de présomption d’innocence</w:t>
      </w:r>
      <w:r w:rsidR="001935D9">
        <w:t xml:space="preserve"> et de personnalité des peines</w:t>
      </w:r>
      <w:r w:rsidR="00785863" w:rsidRPr="00B11DA1">
        <w:t xml:space="preserve">, car elle permet de retenir la responsabilité pénale de chaque membre d’un groupe indépendamment du fait que l’auteur de l’infraction ait été identifié ou pas (arts. 14 et 21). </w:t>
      </w:r>
    </w:p>
    <w:p w:rsidR="00785863" w:rsidRPr="00BB27F5" w:rsidRDefault="00093F02" w:rsidP="00093F02">
      <w:pPr>
        <w:pStyle w:val="SingleTxtG"/>
        <w:kinsoku/>
        <w:overflowPunct/>
        <w:autoSpaceDE/>
        <w:autoSpaceDN/>
        <w:adjustRightInd/>
        <w:snapToGrid/>
        <w:spacing w:after="0"/>
        <w:rPr>
          <w:b/>
        </w:rPr>
      </w:pPr>
      <w:r w:rsidRPr="00BB27F5">
        <w:t>38.</w:t>
      </w:r>
      <w:r w:rsidRPr="00BB27F5">
        <w:tab/>
      </w:r>
      <w:r w:rsidR="00785863" w:rsidRPr="00B11DA1">
        <w:rPr>
          <w:b/>
          <w:bCs/>
        </w:rPr>
        <w:t>L’État partie devrait poursuivre ses efforts pour garantir que les personnes jouissent pleinement des droits consacrés à l’article  21 du Pacte</w:t>
      </w:r>
      <w:r w:rsidR="00E768FE">
        <w:rPr>
          <w:b/>
          <w:bCs/>
        </w:rPr>
        <w:t xml:space="preserve">, </w:t>
      </w:r>
      <w:r w:rsidR="00785863" w:rsidRPr="00B11DA1">
        <w:rPr>
          <w:b/>
          <w:bCs/>
        </w:rPr>
        <w:t xml:space="preserve">de la présomption d'innocence </w:t>
      </w:r>
      <w:r w:rsidR="00E768FE">
        <w:rPr>
          <w:b/>
          <w:bCs/>
        </w:rPr>
        <w:t xml:space="preserve">et de la </w:t>
      </w:r>
      <w:r w:rsidR="001935D9">
        <w:rPr>
          <w:b/>
          <w:bCs/>
        </w:rPr>
        <w:t>personnalité des peines</w:t>
      </w:r>
      <w:r w:rsidR="001935D9" w:rsidRPr="00B11DA1">
        <w:rPr>
          <w:b/>
          <w:bCs/>
        </w:rPr>
        <w:t xml:space="preserve"> énoncée</w:t>
      </w:r>
      <w:r w:rsidR="009B3703">
        <w:rPr>
          <w:b/>
          <w:bCs/>
        </w:rPr>
        <w:t>s</w:t>
      </w:r>
      <w:r w:rsidR="00785863" w:rsidRPr="00B11DA1">
        <w:rPr>
          <w:b/>
          <w:bCs/>
        </w:rPr>
        <w:t xml:space="preserve"> à l'article 14, notamment en révisant la </w:t>
      </w:r>
      <w:r w:rsidR="00785863" w:rsidRPr="00B11DA1">
        <w:rPr>
          <w:b/>
        </w:rPr>
        <w:t xml:space="preserve">loi No 26 du 8 mai 2008. </w:t>
      </w:r>
    </w:p>
    <w:p w:rsidR="00785863" w:rsidRPr="00BB27F5" w:rsidRDefault="00785863" w:rsidP="00785863">
      <w:pPr>
        <w:pStyle w:val="H23G"/>
        <w:tabs>
          <w:tab w:val="clear" w:pos="851"/>
        </w:tabs>
        <w:ind w:firstLine="0"/>
      </w:pPr>
      <w:r w:rsidRPr="001B34DE">
        <w:t xml:space="preserve">Participation aux </w:t>
      </w:r>
      <w:r w:rsidR="000D561E" w:rsidRPr="008B5825">
        <w:t>élections</w:t>
      </w:r>
    </w:p>
    <w:p w:rsidR="00785863" w:rsidRPr="00BB27F5" w:rsidRDefault="00093F02" w:rsidP="00093F02">
      <w:pPr>
        <w:pStyle w:val="SingleTxtG"/>
        <w:kinsoku/>
        <w:overflowPunct/>
        <w:autoSpaceDE/>
        <w:autoSpaceDN/>
        <w:adjustRightInd/>
        <w:snapToGrid/>
      </w:pPr>
      <w:r w:rsidRPr="00BB27F5">
        <w:t>39.</w:t>
      </w:r>
      <w:r w:rsidRPr="00BB27F5">
        <w:tab/>
      </w:r>
      <w:r w:rsidR="00785863" w:rsidRPr="00BB27F5">
        <w:t xml:space="preserve">Tout </w:t>
      </w:r>
      <w:r w:rsidR="000D561E">
        <w:t xml:space="preserve">en reconnaissant que dans des conjonctures particulières la législation d’un pays institue des impossibilités d’accéder à des fonctions électives à l’encontre de certains citoyens ou de certaines organisations et tout </w:t>
      </w:r>
      <w:r w:rsidR="00785863" w:rsidRPr="00BB27F5">
        <w:t xml:space="preserve">en notant que l’article 135 du code électoral qui rend « inéligibles » les personnes ayant « soutenu un changement inconstitutionnel portant atteinte au principe de l’alternance politique » n’est applicable qu’aux élections de 2015, le Comité est préoccupé </w:t>
      </w:r>
      <w:r w:rsidR="000D561E" w:rsidRPr="00BB27F5">
        <w:t>par</w:t>
      </w:r>
      <w:r w:rsidR="000D561E">
        <w:t xml:space="preserve"> la généralité et l’imprécision de </w:t>
      </w:r>
      <w:r w:rsidR="00785863" w:rsidRPr="00BB27F5">
        <w:t>l’exclusion de plusieurs candidats à l’élection législative et à l’élection présidentielle</w:t>
      </w:r>
      <w:r w:rsidR="00785863">
        <w:t xml:space="preserve"> de 2015</w:t>
      </w:r>
      <w:r w:rsidR="000D561E">
        <w:t xml:space="preserve"> qui constituent une violation du droit de libre participation aux élections (art. 25)</w:t>
      </w:r>
      <w:r w:rsidR="00785863" w:rsidRPr="00BB27F5">
        <w:t>.</w:t>
      </w:r>
    </w:p>
    <w:p w:rsidR="00785863" w:rsidRPr="00DF6A56" w:rsidRDefault="00093F02" w:rsidP="00093F02">
      <w:pPr>
        <w:pStyle w:val="SingleTxtG"/>
        <w:kinsoku/>
        <w:overflowPunct/>
        <w:autoSpaceDE/>
        <w:autoSpaceDN/>
        <w:adjustRightInd/>
        <w:snapToGrid/>
        <w:rPr>
          <w:b/>
          <w:bCs/>
        </w:rPr>
      </w:pPr>
      <w:r w:rsidRPr="00DF6A56">
        <w:rPr>
          <w:bCs/>
        </w:rPr>
        <w:t>40.</w:t>
      </w:r>
      <w:r w:rsidRPr="00DF6A56">
        <w:rPr>
          <w:bCs/>
        </w:rPr>
        <w:tab/>
      </w:r>
      <w:r w:rsidR="00785863" w:rsidRPr="00BB27F5">
        <w:rPr>
          <w:b/>
        </w:rPr>
        <w:t>L’</w:t>
      </w:r>
      <w:r w:rsidR="00FA441F">
        <w:rPr>
          <w:b/>
        </w:rPr>
        <w:t>État</w:t>
      </w:r>
      <w:r w:rsidR="00785863" w:rsidRPr="00BB27F5">
        <w:rPr>
          <w:b/>
        </w:rPr>
        <w:t xml:space="preserve"> partie devrait</w:t>
      </w:r>
      <w:r w:rsidR="00785863" w:rsidRPr="00BB27F5">
        <w:t xml:space="preserve"> </w:t>
      </w:r>
      <w:r w:rsidR="00785863" w:rsidRPr="00BB27F5">
        <w:rPr>
          <w:b/>
          <w:bCs/>
        </w:rPr>
        <w:t xml:space="preserve"> garantir le droit de voter et de se présenter aux élections à tous ses citoyens, sans distinction aucune, notamment d'opinion politique, conformément à l’article 25 du Pacte et en tenant dûment compte de l’Observation </w:t>
      </w:r>
      <w:r w:rsidR="00785863" w:rsidRPr="00BB27F5">
        <w:rPr>
          <w:b/>
          <w:bCs/>
        </w:rPr>
        <w:lastRenderedPageBreak/>
        <w:t>générale No 25 du Comité (1996)</w:t>
      </w:r>
      <w:r w:rsidR="000D561E">
        <w:rPr>
          <w:b/>
          <w:bCs/>
        </w:rPr>
        <w:t xml:space="preserve"> et de l’arrêt de la Cour de justice de la Communauté économique des </w:t>
      </w:r>
      <w:r w:rsidR="00FA441F">
        <w:rPr>
          <w:b/>
          <w:bCs/>
        </w:rPr>
        <w:t>État</w:t>
      </w:r>
      <w:r w:rsidR="000D561E">
        <w:rPr>
          <w:b/>
          <w:bCs/>
        </w:rPr>
        <w:t>s d’Afrique de l’Ouest rendu le 13 juillet 2015</w:t>
      </w:r>
      <w:r w:rsidR="00785863" w:rsidRPr="00BB27F5">
        <w:rPr>
          <w:b/>
          <w:bCs/>
        </w:rPr>
        <w:t>.</w:t>
      </w:r>
    </w:p>
    <w:p w:rsidR="00785863" w:rsidRPr="00DF6A56" w:rsidRDefault="00785863" w:rsidP="00785863">
      <w:pPr>
        <w:pStyle w:val="H23G"/>
        <w:tabs>
          <w:tab w:val="clear" w:pos="851"/>
        </w:tabs>
        <w:ind w:firstLine="0"/>
      </w:pPr>
      <w:r w:rsidRPr="00DF6A56">
        <w:t>Conflits communautaires</w:t>
      </w:r>
    </w:p>
    <w:p w:rsidR="00785863" w:rsidRPr="00DF6A56" w:rsidRDefault="00093F02" w:rsidP="00093F02">
      <w:pPr>
        <w:pStyle w:val="SingleTxtG"/>
        <w:kinsoku/>
        <w:overflowPunct/>
        <w:autoSpaceDE/>
        <w:autoSpaceDN/>
        <w:adjustRightInd/>
        <w:snapToGrid/>
      </w:pPr>
      <w:r w:rsidRPr="00DF6A56">
        <w:t>41.</w:t>
      </w:r>
      <w:r w:rsidRPr="00DF6A56">
        <w:tab/>
      </w:r>
      <w:r w:rsidR="00785863" w:rsidRPr="00DF6A56">
        <w:t xml:space="preserve">Le Comité est préoccupé par la recrudescence des </w:t>
      </w:r>
      <w:r w:rsidR="00785863">
        <w:t>conflits entre éleveurs et agriculteurs, dont sont particulièrement victimes les communautés peulh, qui ont</w:t>
      </w:r>
      <w:r w:rsidR="00785863" w:rsidRPr="00DF6A56">
        <w:t xml:space="preserve"> entraîné des dommages corporels et des morts, des destructions de biens et d’habitats et des déplacements de populations</w:t>
      </w:r>
      <w:r w:rsidR="00785863">
        <w:t xml:space="preserve">. </w:t>
      </w:r>
      <w:r w:rsidR="00785863" w:rsidRPr="00363200">
        <w:t xml:space="preserve">Le Comité note également avec préoccupation les informations selon lesquelles la communauté peulh serait </w:t>
      </w:r>
      <w:r w:rsidR="00785863">
        <w:t>une cible récurrente</w:t>
      </w:r>
      <w:r w:rsidR="00785863" w:rsidRPr="00363200">
        <w:t xml:space="preserve"> de </w:t>
      </w:r>
      <w:r w:rsidR="00785863">
        <w:t>milices</w:t>
      </w:r>
      <w:r w:rsidR="00785863" w:rsidRPr="00363200">
        <w:t xml:space="preserve"> d’autodéfense</w:t>
      </w:r>
      <w:r w:rsidR="00785863" w:rsidRPr="00DF6A56">
        <w:t xml:space="preserve"> (arts. 6, 9 et 27).</w:t>
      </w:r>
    </w:p>
    <w:p w:rsidR="00785863" w:rsidRPr="003E5EEA" w:rsidRDefault="00093F02" w:rsidP="00093F02">
      <w:pPr>
        <w:pStyle w:val="SingleTxtG"/>
        <w:kinsoku/>
        <w:overflowPunct/>
        <w:autoSpaceDE/>
        <w:autoSpaceDN/>
        <w:adjustRightInd/>
        <w:snapToGrid/>
        <w:rPr>
          <w:b/>
        </w:rPr>
      </w:pPr>
      <w:r w:rsidRPr="003E5EEA">
        <w:t>42.</w:t>
      </w:r>
      <w:r w:rsidRPr="003E5EEA">
        <w:tab/>
      </w:r>
      <w:r w:rsidR="00785863" w:rsidRPr="00DF6A56">
        <w:rPr>
          <w:b/>
        </w:rPr>
        <w:t>L’</w:t>
      </w:r>
      <w:r w:rsidR="00FA441F">
        <w:rPr>
          <w:b/>
        </w:rPr>
        <w:t>État</w:t>
      </w:r>
      <w:r w:rsidR="00785863" w:rsidRPr="00DF6A56">
        <w:rPr>
          <w:b/>
        </w:rPr>
        <w:t xml:space="preserve"> partie doit poursuivre ses efforts pour </w:t>
      </w:r>
      <w:r w:rsidR="00785863">
        <w:rPr>
          <w:b/>
        </w:rPr>
        <w:t xml:space="preserve">protéger les éleveurs et </w:t>
      </w:r>
      <w:r w:rsidR="00785863" w:rsidRPr="00DF6A56">
        <w:rPr>
          <w:b/>
        </w:rPr>
        <w:t xml:space="preserve">mettre un terme aux violations dont </w:t>
      </w:r>
      <w:r w:rsidR="00785863">
        <w:rPr>
          <w:b/>
        </w:rPr>
        <w:t xml:space="preserve">ils </w:t>
      </w:r>
      <w:r w:rsidR="00785863" w:rsidRPr="00DF6A56">
        <w:rPr>
          <w:b/>
        </w:rPr>
        <w:t xml:space="preserve">sont victimes. Il doit promouvoir  le dialogue intercommunautaire et réduire les tensions entre agriculteurs et éleveurs, notamment en prenant en considération les causes profondes des conflits telles que la concurrence accrue sur les terres et l’insécurité foncière des peuples autochtones et autres communautés appliquant des systèmes fonciers coutumiers. </w:t>
      </w:r>
      <w:r w:rsidR="00785863" w:rsidRPr="00DF6A56">
        <w:rPr>
          <w:b/>
          <w:bCs/>
        </w:rPr>
        <w:t xml:space="preserve">Le Comité recommande également à l’État partie </w:t>
      </w:r>
      <w:r w:rsidR="00E651D8">
        <w:rPr>
          <w:b/>
          <w:bCs/>
        </w:rPr>
        <w:t xml:space="preserve">de poursuivre ses efforts pour </w:t>
      </w:r>
      <w:r w:rsidR="00B5354E">
        <w:rPr>
          <w:b/>
          <w:bCs/>
        </w:rPr>
        <w:t>que</w:t>
      </w:r>
      <w:r w:rsidR="00785863" w:rsidRPr="00DF6A56">
        <w:rPr>
          <w:b/>
          <w:bCs/>
        </w:rPr>
        <w:t xml:space="preserve"> les violations des droits de l’homme commises dans le cadre de ces conflits</w:t>
      </w:r>
      <w:r w:rsidR="00B5354E">
        <w:rPr>
          <w:b/>
          <w:bCs/>
        </w:rPr>
        <w:t xml:space="preserve"> donnent rapidement lieu à une enquête, que les auteurs soient poursuivis et, le cas échéant, sanctionnés, et que les victimes reçoivent une indemnisation.</w:t>
      </w:r>
      <w:r w:rsidR="00785863">
        <w:rPr>
          <w:b/>
        </w:rPr>
        <w:tab/>
      </w:r>
    </w:p>
    <w:p w:rsidR="00785863" w:rsidRDefault="00785863" w:rsidP="00785863">
      <w:pPr>
        <w:pStyle w:val="H1G"/>
      </w:pPr>
      <w:r>
        <w:tab/>
      </w:r>
      <w:r w:rsidRPr="001C65B5">
        <w:t>D.</w:t>
      </w:r>
      <w:r>
        <w:tab/>
      </w:r>
      <w:r w:rsidRPr="001C65B5">
        <w:t xml:space="preserve">Diffusion d’informations relatives au Pacte </w:t>
      </w:r>
    </w:p>
    <w:p w:rsidR="00785863" w:rsidRPr="00F61362" w:rsidRDefault="00093F02" w:rsidP="00093F02">
      <w:pPr>
        <w:pStyle w:val="SingleTxtG"/>
        <w:kinsoku/>
        <w:overflowPunct/>
        <w:autoSpaceDE/>
        <w:autoSpaceDN/>
        <w:adjustRightInd/>
        <w:snapToGrid/>
        <w:rPr>
          <w:b/>
        </w:rPr>
      </w:pPr>
      <w:r w:rsidRPr="00F61362">
        <w:t>43.</w:t>
      </w:r>
      <w:r w:rsidRPr="00F61362">
        <w:tab/>
      </w:r>
      <w:r w:rsidR="00785863" w:rsidRPr="00F61362">
        <w:rPr>
          <w:b/>
        </w:rPr>
        <w:t xml:space="preserve">L’État partie devrait assurer une large diffusion du Pacte et de son Protocole facultatif, du rapport initial, des réponses écrites à la liste de questions du Comité, et des présentes observations finales afin de sensibiliser les autorités judiciaires, législatives et administratives, la société civile et les ONG œuvrant dans le pays, et le grand public aux droits consacrés dans le Pacte. </w:t>
      </w:r>
    </w:p>
    <w:p w:rsidR="00785863" w:rsidRPr="00093F02" w:rsidRDefault="00093F02" w:rsidP="00093F02">
      <w:pPr>
        <w:pStyle w:val="SingleTxtG"/>
        <w:kinsoku/>
        <w:overflowPunct/>
        <w:autoSpaceDE/>
        <w:autoSpaceDN/>
        <w:adjustRightInd/>
        <w:snapToGrid/>
        <w:rPr>
          <w:b/>
        </w:rPr>
      </w:pPr>
      <w:r w:rsidRPr="00093F02">
        <w:t>44.</w:t>
      </w:r>
      <w:r w:rsidRPr="00093F02">
        <w:tab/>
      </w:r>
      <w:r w:rsidR="00785863" w:rsidRPr="00093F02">
        <w:rPr>
          <w:b/>
        </w:rPr>
        <w:t xml:space="preserve">Conformément au paragraphe 5 de l’article 71 du Règlement intérieur du Comité, l’État partie devrait faire parvenir dans un délai d’un an à compter de l’adoption des présentes observations finales des renseignements sur la suite qu’il aura donnée aux recommandations faites par le Comité aux </w:t>
      </w:r>
      <w:r w:rsidR="00785863" w:rsidRPr="00733463">
        <w:rPr>
          <w:b/>
        </w:rPr>
        <w:t>paragraphes</w:t>
      </w:r>
      <w:r w:rsidR="00B5354E" w:rsidRPr="00733463">
        <w:rPr>
          <w:b/>
        </w:rPr>
        <w:t xml:space="preserve"> 16 (égalité entre hommes et femmes et pratiques préjudiciables à l’égard des femmes), 24 (</w:t>
      </w:r>
      <w:r w:rsidR="00807F57">
        <w:rPr>
          <w:b/>
        </w:rPr>
        <w:t>v</w:t>
      </w:r>
      <w:r w:rsidR="00077F67" w:rsidRPr="00733463">
        <w:rPr>
          <w:b/>
        </w:rPr>
        <w:t>indicte populaire et milices d’autodéfense</w:t>
      </w:r>
      <w:r w:rsidR="00B5354E" w:rsidRPr="00733463">
        <w:rPr>
          <w:b/>
        </w:rPr>
        <w:t>) et 36 (</w:t>
      </w:r>
      <w:r w:rsidR="00077F67" w:rsidRPr="00733463">
        <w:rPr>
          <w:b/>
        </w:rPr>
        <w:t>traite des êtres humains et travail des enfants</w:t>
      </w:r>
      <w:r w:rsidR="00B5354E" w:rsidRPr="00733463">
        <w:rPr>
          <w:b/>
        </w:rPr>
        <w:t>)</w:t>
      </w:r>
      <w:r w:rsidR="00785863" w:rsidRPr="00093F02">
        <w:rPr>
          <w:b/>
        </w:rPr>
        <w:t xml:space="preserve"> ci-dessus. </w:t>
      </w:r>
    </w:p>
    <w:p w:rsidR="00785863" w:rsidRPr="00F61362" w:rsidRDefault="00093F02" w:rsidP="00093F02">
      <w:pPr>
        <w:pStyle w:val="SingleTxtG"/>
        <w:kinsoku/>
        <w:overflowPunct/>
        <w:autoSpaceDE/>
        <w:autoSpaceDN/>
        <w:adjustRightInd/>
        <w:snapToGrid/>
        <w:rPr>
          <w:b/>
          <w:bCs/>
        </w:rPr>
      </w:pPr>
      <w:r w:rsidRPr="00F61362">
        <w:rPr>
          <w:bCs/>
        </w:rPr>
        <w:t>45.</w:t>
      </w:r>
      <w:r w:rsidRPr="00F61362">
        <w:rPr>
          <w:bCs/>
        </w:rPr>
        <w:tab/>
      </w:r>
      <w:r w:rsidR="00785863" w:rsidRPr="00093F02">
        <w:rPr>
          <w:b/>
        </w:rPr>
        <w:t xml:space="preserve">Le Comité prie l’État partie de lui soumettre son rapport périodique suivant le </w:t>
      </w:r>
      <w:r w:rsidR="00077F67">
        <w:rPr>
          <w:b/>
        </w:rPr>
        <w:t>15 juillet 2020</w:t>
      </w:r>
      <w:r w:rsidR="00785863" w:rsidRPr="00093F02">
        <w:rPr>
          <w:b/>
        </w:rPr>
        <w:t xml:space="preserve"> au plus tard et d’y faire figurer des renseignements précis à jour sur la mise en œuvre des recommandations faites dans les présentes observations finales et sur l’application du Pacte dans son ensemble. Il le prie également de consulter largement la société civile et les ONG présentes dans le pays aux fins de l’élaboration de son rapport. Conformément à la résolution 68/268 de l’Assemblée générale, ce rapport ne devra pas dépasser 21 200 mots. A titre auxiliaire, le Comité invite l’</w:t>
      </w:r>
      <w:r w:rsidR="00FA441F">
        <w:rPr>
          <w:b/>
        </w:rPr>
        <w:t>État</w:t>
      </w:r>
      <w:r w:rsidR="00785863" w:rsidRPr="00093F02">
        <w:rPr>
          <w:b/>
        </w:rPr>
        <w:t xml:space="preserve"> partie à accepter d’ici </w:t>
      </w:r>
      <w:r w:rsidR="00077F67">
        <w:rPr>
          <w:b/>
        </w:rPr>
        <w:t>le 15 juillet 2017</w:t>
      </w:r>
      <w:r w:rsidR="00785863" w:rsidRPr="00093F02">
        <w:rPr>
          <w:b/>
        </w:rPr>
        <w:t xml:space="preserve"> la procédure simplifiée d’établissement de rapport, dans le cadre de laquelle le Comité transmet une liste </w:t>
      </w:r>
      <w:r w:rsidR="00785863" w:rsidRPr="00F61362">
        <w:rPr>
          <w:b/>
        </w:rPr>
        <w:t>de questions à l’</w:t>
      </w:r>
      <w:r w:rsidR="00FA441F">
        <w:rPr>
          <w:b/>
        </w:rPr>
        <w:t>État</w:t>
      </w:r>
      <w:r w:rsidR="00785863" w:rsidRPr="00F61362">
        <w:rPr>
          <w:b/>
        </w:rPr>
        <w:t xml:space="preserve"> partie avant qu’il ait soumis son rapport périodique. Les réponses de l’</w:t>
      </w:r>
      <w:r w:rsidR="00FA441F">
        <w:rPr>
          <w:b/>
        </w:rPr>
        <w:t>État</w:t>
      </w:r>
      <w:r w:rsidR="00785863" w:rsidRPr="00F61362">
        <w:rPr>
          <w:b/>
        </w:rPr>
        <w:t xml:space="preserve"> partie à cette liste de questions constitueront dès lors le prochain rapport périodique devant être soumis conformément à l’article 40 du Pacte.</w:t>
      </w:r>
    </w:p>
    <w:p w:rsidR="00785863" w:rsidRPr="00161CFF" w:rsidRDefault="00785863" w:rsidP="00785863">
      <w:pPr>
        <w:spacing w:before="240"/>
        <w:ind w:left="1134" w:right="1134"/>
        <w:jc w:val="center"/>
        <w:rPr>
          <w:u w:val="single"/>
        </w:rPr>
      </w:pPr>
      <w:r>
        <w:rPr>
          <w:u w:val="single"/>
        </w:rPr>
        <w:tab/>
      </w:r>
      <w:r>
        <w:rPr>
          <w:u w:val="single"/>
        </w:rPr>
        <w:tab/>
      </w:r>
      <w:r>
        <w:rPr>
          <w:u w:val="single"/>
        </w:rPr>
        <w:tab/>
      </w:r>
    </w:p>
    <w:p w:rsidR="00785863" w:rsidRPr="00785863" w:rsidRDefault="00785863" w:rsidP="00785863"/>
    <w:sectPr w:rsidR="00785863" w:rsidRPr="00785863" w:rsidSect="009367DE">
      <w:footerReference w:type="even" r:id="rId12"/>
      <w:footerReference w:type="default" r:id="rId13"/>
      <w:endnotePr>
        <w:numFmt w:val="decimal"/>
      </w:endnotePr>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748" w:rsidRDefault="007B7748" w:rsidP="00F95C08">
      <w:pPr>
        <w:spacing w:line="240" w:lineRule="auto"/>
      </w:pPr>
    </w:p>
  </w:endnote>
  <w:endnote w:type="continuationSeparator" w:id="0">
    <w:p w:rsidR="007B7748" w:rsidRPr="00AC3823" w:rsidRDefault="007B7748" w:rsidP="00AC3823">
      <w:pPr>
        <w:pStyle w:val="Pieddepage"/>
      </w:pPr>
    </w:p>
  </w:endnote>
  <w:endnote w:type="continuationNotice" w:id="1">
    <w:p w:rsidR="007B7748" w:rsidRDefault="007B7748">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34" w:rsidRPr="009367DE" w:rsidRDefault="00257934" w:rsidP="009367DE">
    <w:pPr>
      <w:pStyle w:val="Pieddepage"/>
      <w:tabs>
        <w:tab w:val="right" w:pos="9638"/>
      </w:tabs>
    </w:pPr>
    <w:r w:rsidRPr="009367DE">
      <w:rPr>
        <w:b/>
        <w:sz w:val="18"/>
      </w:rPr>
      <w:fldChar w:fldCharType="begin"/>
    </w:r>
    <w:r w:rsidRPr="009367DE">
      <w:rPr>
        <w:b/>
        <w:sz w:val="18"/>
      </w:rPr>
      <w:instrText xml:space="preserve"> PAGE  \* MERGEFORMAT </w:instrText>
    </w:r>
    <w:r w:rsidRPr="009367DE">
      <w:rPr>
        <w:b/>
        <w:sz w:val="18"/>
      </w:rPr>
      <w:fldChar w:fldCharType="separate"/>
    </w:r>
    <w:r w:rsidR="00D26711">
      <w:rPr>
        <w:b/>
        <w:noProof/>
        <w:sz w:val="18"/>
      </w:rPr>
      <w:t>8</w:t>
    </w:r>
    <w:r w:rsidRPr="009367DE">
      <w:rPr>
        <w:b/>
        <w:sz w:val="18"/>
      </w:rPr>
      <w:fldChar w:fldCharType="end"/>
    </w:r>
    <w:r>
      <w:rPr>
        <w:b/>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7934" w:rsidRPr="009367DE" w:rsidRDefault="00257934" w:rsidP="009367DE">
    <w:pPr>
      <w:pStyle w:val="Pieddepage"/>
      <w:tabs>
        <w:tab w:val="right" w:pos="9638"/>
      </w:tabs>
      <w:rPr>
        <w:b/>
        <w:sz w:val="18"/>
      </w:rPr>
    </w:pPr>
    <w:r>
      <w:tab/>
    </w:r>
    <w:r w:rsidRPr="009367DE">
      <w:rPr>
        <w:b/>
        <w:sz w:val="18"/>
      </w:rPr>
      <w:fldChar w:fldCharType="begin"/>
    </w:r>
    <w:r w:rsidRPr="009367DE">
      <w:rPr>
        <w:b/>
        <w:sz w:val="18"/>
      </w:rPr>
      <w:instrText xml:space="preserve"> PAGE  \* MERGEFORMAT </w:instrText>
    </w:r>
    <w:r w:rsidRPr="009367DE">
      <w:rPr>
        <w:b/>
        <w:sz w:val="18"/>
      </w:rPr>
      <w:fldChar w:fldCharType="separate"/>
    </w:r>
    <w:r w:rsidR="00D26711">
      <w:rPr>
        <w:b/>
        <w:noProof/>
        <w:sz w:val="18"/>
      </w:rPr>
      <w:t>9</w:t>
    </w:r>
    <w:r w:rsidRPr="009367DE">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748" w:rsidRPr="00AC3823" w:rsidRDefault="007B7748" w:rsidP="00AC3823">
      <w:pPr>
        <w:pStyle w:val="Pieddepage"/>
        <w:tabs>
          <w:tab w:val="right" w:pos="2155"/>
        </w:tabs>
        <w:spacing w:after="80" w:line="240" w:lineRule="atLeast"/>
        <w:ind w:left="680"/>
        <w:rPr>
          <w:u w:val="single"/>
        </w:rPr>
      </w:pPr>
      <w:r>
        <w:rPr>
          <w:u w:val="single"/>
        </w:rPr>
        <w:tab/>
      </w:r>
    </w:p>
  </w:footnote>
  <w:footnote w:type="continuationSeparator" w:id="0">
    <w:p w:rsidR="007B7748" w:rsidRPr="00AC3823" w:rsidRDefault="007B7748" w:rsidP="00AC3823">
      <w:pPr>
        <w:pStyle w:val="Pieddepage"/>
        <w:tabs>
          <w:tab w:val="right" w:pos="2155"/>
        </w:tabs>
        <w:spacing w:after="80" w:line="240" w:lineRule="atLeast"/>
        <w:ind w:left="680"/>
        <w:rPr>
          <w:u w:val="single"/>
        </w:rPr>
      </w:pPr>
      <w:r>
        <w:rPr>
          <w:u w:val="single"/>
        </w:rPr>
        <w:tab/>
      </w:r>
    </w:p>
  </w:footnote>
  <w:footnote w:type="continuationNotice" w:id="1">
    <w:p w:rsidR="007B7748" w:rsidRPr="00AC3823" w:rsidRDefault="007B7748">
      <w:pPr>
        <w:spacing w:line="240" w:lineRule="auto"/>
        <w:rPr>
          <w:sz w:val="2"/>
          <w:szCs w:val="2"/>
        </w:rPr>
      </w:pPr>
    </w:p>
  </w:footnote>
  <w:footnote w:id="2">
    <w:p w:rsidR="00257934" w:rsidRPr="00974C94" w:rsidRDefault="00257934">
      <w:pPr>
        <w:pStyle w:val="Notedebasdepage"/>
      </w:pPr>
      <w:r>
        <w:rPr>
          <w:rStyle w:val="Appelnotedebasdep"/>
        </w:rPr>
        <w:tab/>
      </w:r>
      <w:r w:rsidRPr="00974C94">
        <w:rPr>
          <w:rStyle w:val="Appelnotedebasdep"/>
          <w:sz w:val="20"/>
          <w:vertAlign w:val="baseline"/>
        </w:rPr>
        <w:t>*</w:t>
      </w:r>
      <w:r>
        <w:rPr>
          <w:rStyle w:val="Appelnotedebasdep"/>
          <w:sz w:val="20"/>
          <w:vertAlign w:val="baseline"/>
        </w:rPr>
        <w:tab/>
      </w:r>
      <w:r w:rsidRPr="00974C94">
        <w:t>Le présent document n’a pas fait l’objet d’une relecture sur le fond par les services d’édition.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34EEA80"/>
    <w:lvl w:ilvl="0">
      <w:start w:val="1"/>
      <w:numFmt w:val="decimal"/>
      <w:lvlText w:val="%1."/>
      <w:lvlJc w:val="left"/>
      <w:pPr>
        <w:tabs>
          <w:tab w:val="num" w:pos="1492"/>
        </w:tabs>
        <w:ind w:left="1492" w:hanging="360"/>
      </w:pPr>
    </w:lvl>
  </w:abstractNum>
  <w:abstractNum w:abstractNumId="1">
    <w:nsid w:val="FFFFFF7D"/>
    <w:multiLevelType w:val="singleLevel"/>
    <w:tmpl w:val="8B08445C"/>
    <w:lvl w:ilvl="0">
      <w:start w:val="1"/>
      <w:numFmt w:val="decimal"/>
      <w:lvlText w:val="%1."/>
      <w:lvlJc w:val="left"/>
      <w:pPr>
        <w:tabs>
          <w:tab w:val="num" w:pos="1209"/>
        </w:tabs>
        <w:ind w:left="1209" w:hanging="360"/>
      </w:pPr>
    </w:lvl>
  </w:abstractNum>
  <w:abstractNum w:abstractNumId="2">
    <w:nsid w:val="FFFFFF7E"/>
    <w:multiLevelType w:val="singleLevel"/>
    <w:tmpl w:val="7D50032A"/>
    <w:lvl w:ilvl="0">
      <w:start w:val="1"/>
      <w:numFmt w:val="decimal"/>
      <w:lvlText w:val="%1."/>
      <w:lvlJc w:val="left"/>
      <w:pPr>
        <w:tabs>
          <w:tab w:val="num" w:pos="926"/>
        </w:tabs>
        <w:ind w:left="926" w:hanging="360"/>
      </w:pPr>
    </w:lvl>
  </w:abstractNum>
  <w:abstractNum w:abstractNumId="3">
    <w:nsid w:val="FFFFFF7F"/>
    <w:multiLevelType w:val="singleLevel"/>
    <w:tmpl w:val="844CBCBC"/>
    <w:lvl w:ilvl="0">
      <w:start w:val="1"/>
      <w:numFmt w:val="decimal"/>
      <w:lvlText w:val="%1."/>
      <w:lvlJc w:val="left"/>
      <w:pPr>
        <w:tabs>
          <w:tab w:val="num" w:pos="643"/>
        </w:tabs>
        <w:ind w:left="643" w:hanging="360"/>
      </w:pPr>
    </w:lvl>
  </w:abstractNum>
  <w:abstractNum w:abstractNumId="4">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45C69F2"/>
    <w:lvl w:ilvl="0">
      <w:start w:val="1"/>
      <w:numFmt w:val="decimal"/>
      <w:lvlText w:val="%1."/>
      <w:lvlJc w:val="left"/>
      <w:pPr>
        <w:tabs>
          <w:tab w:val="num" w:pos="360"/>
        </w:tabs>
        <w:ind w:left="360" w:hanging="360"/>
      </w:pPr>
    </w:lvl>
  </w:abstractNum>
  <w:abstractNum w:abstractNumId="9">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nsid w:val="081F2FDC"/>
    <w:multiLevelType w:val="hybridMultilevel"/>
    <w:tmpl w:val="981E47AE"/>
    <w:lvl w:ilvl="0" w:tplc="2E7A82CA">
      <w:start w:val="1"/>
      <w:numFmt w:val="decimal"/>
      <w:lvlText w:val="%1."/>
      <w:lvlJc w:val="left"/>
      <w:pPr>
        <w:ind w:left="1656" w:hanging="576"/>
      </w:pPr>
      <w:rPr>
        <w:b w:val="0"/>
        <w:color w:val="auto"/>
      </w:rPr>
    </w:lvl>
    <w:lvl w:ilvl="1" w:tplc="FD44ACCE">
      <w:start w:val="1"/>
      <w:numFmt w:val="lowerLetter"/>
      <w:lvlText w:val="%2)"/>
      <w:lvlJc w:val="left"/>
      <w:pPr>
        <w:ind w:left="2214" w:hanging="360"/>
      </w:pPr>
      <w:rPr>
        <w:b w:val="0"/>
      </w:rPr>
    </w:lvl>
    <w:lvl w:ilvl="2" w:tplc="0809001B">
      <w:start w:val="1"/>
      <w:numFmt w:val="lowerRoman"/>
      <w:lvlText w:val="%3."/>
      <w:lvlJc w:val="right"/>
      <w:pPr>
        <w:ind w:left="2934" w:hanging="180"/>
      </w:pPr>
    </w:lvl>
    <w:lvl w:ilvl="3" w:tplc="0809000F">
      <w:start w:val="1"/>
      <w:numFmt w:val="decimal"/>
      <w:lvlText w:val="%4."/>
      <w:lvlJc w:val="left"/>
      <w:pPr>
        <w:ind w:left="3654" w:hanging="360"/>
      </w:pPr>
    </w:lvl>
    <w:lvl w:ilvl="4" w:tplc="08090019">
      <w:start w:val="1"/>
      <w:numFmt w:val="lowerLetter"/>
      <w:lvlText w:val="%5."/>
      <w:lvlJc w:val="left"/>
      <w:pPr>
        <w:ind w:left="4374" w:hanging="360"/>
      </w:pPr>
    </w:lvl>
    <w:lvl w:ilvl="5" w:tplc="0809001B">
      <w:start w:val="1"/>
      <w:numFmt w:val="lowerRoman"/>
      <w:lvlText w:val="%6."/>
      <w:lvlJc w:val="right"/>
      <w:pPr>
        <w:ind w:left="5094" w:hanging="180"/>
      </w:pPr>
    </w:lvl>
    <w:lvl w:ilvl="6" w:tplc="0809000F">
      <w:start w:val="1"/>
      <w:numFmt w:val="decimal"/>
      <w:lvlText w:val="%7."/>
      <w:lvlJc w:val="left"/>
      <w:pPr>
        <w:ind w:left="5814" w:hanging="360"/>
      </w:pPr>
    </w:lvl>
    <w:lvl w:ilvl="7" w:tplc="08090019">
      <w:start w:val="1"/>
      <w:numFmt w:val="lowerLetter"/>
      <w:lvlText w:val="%8."/>
      <w:lvlJc w:val="left"/>
      <w:pPr>
        <w:ind w:left="6534" w:hanging="360"/>
      </w:pPr>
    </w:lvl>
    <w:lvl w:ilvl="8" w:tplc="0809001B">
      <w:start w:val="1"/>
      <w:numFmt w:val="lowerRoman"/>
      <w:lvlText w:val="%9."/>
      <w:lvlJc w:val="right"/>
      <w:pPr>
        <w:ind w:left="7254" w:hanging="180"/>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3">
    <w:nsid w:val="422C5EC4"/>
    <w:multiLevelType w:val="hybridMultilevel"/>
    <w:tmpl w:val="8AD82372"/>
    <w:lvl w:ilvl="0" w:tplc="FD44ACCE">
      <w:start w:val="1"/>
      <w:numFmt w:val="lowerLetter"/>
      <w:lvlText w:val="%1)"/>
      <w:lvlJc w:val="left"/>
      <w:pPr>
        <w:ind w:left="2214"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575B78D3"/>
    <w:multiLevelType w:val="hybridMultilevel"/>
    <w:tmpl w:val="8DD6DF0C"/>
    <w:lvl w:ilvl="0" w:tplc="8962E1D4">
      <w:start w:val="1"/>
      <w:numFmt w:val="decimal"/>
      <w:lvlText w:val="%1."/>
      <w:lvlJc w:val="left"/>
      <w:pPr>
        <w:ind w:left="1854" w:hanging="360"/>
      </w:pPr>
      <w:rPr>
        <w:b w:val="0"/>
        <w:i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5">
    <w:nsid w:val="66E47F67"/>
    <w:multiLevelType w:val="hybridMultilevel"/>
    <w:tmpl w:val="C518CDE6"/>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6">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6"/>
  </w:num>
  <w:num w:numId="2">
    <w:abstractNumId w:val="12"/>
  </w:num>
  <w:num w:numId="3">
    <w:abstractNumId w:val="11"/>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6"/>
  </w:num>
  <w:num w:numId="15">
    <w:abstractNumId w:val="12"/>
  </w:num>
  <w:num w:numId="16">
    <w:abstractNumId w:val="11"/>
  </w:num>
  <w:num w:numId="17">
    <w:abstractNumId w:val="11"/>
  </w:num>
  <w:num w:numId="18">
    <w:abstractNumId w:val="11"/>
  </w:num>
  <w:num w:numId="19">
    <w:abstractNumId w:val="11"/>
  </w:num>
  <w:num w:numId="20">
    <w:abstractNumId w:val="11"/>
  </w:num>
  <w:num w:numId="21">
    <w:abstractNumId w:val="11"/>
  </w:num>
  <w:num w:numId="22">
    <w:abstractNumId w:val="11"/>
  </w:num>
  <w:num w:numId="23">
    <w:abstractNumId w:val="11"/>
  </w:num>
  <w:num w:numId="24">
    <w:abstractNumId w:val="11"/>
  </w:num>
  <w:num w:numId="25">
    <w:abstractNumId w:val="11"/>
  </w:num>
  <w:num w:numId="26">
    <w:abstractNumId w:val="11"/>
  </w:num>
  <w:num w:numId="27">
    <w:abstractNumId w:val="11"/>
  </w:num>
  <w:num w:numId="28">
    <w:abstractNumId w:val="11"/>
  </w:num>
  <w:num w:numId="29">
    <w:abstractNumId w:val="11"/>
  </w:num>
  <w:num w:numId="30">
    <w:abstractNumId w:val="11"/>
  </w:num>
  <w:num w:numId="31">
    <w:abstractNumId w:val="11"/>
  </w:num>
  <w:num w:numId="32">
    <w:abstractNumId w:val="11"/>
  </w:num>
  <w:num w:numId="33">
    <w:abstractNumId w:val="11"/>
  </w:num>
  <w:num w:numId="34">
    <w:abstractNumId w:val="11"/>
  </w:num>
  <w:num w:numId="35">
    <w:abstractNumId w:val="11"/>
  </w:num>
  <w:num w:numId="36">
    <w:abstractNumId w:val="11"/>
  </w:num>
  <w:num w:numId="37">
    <w:abstractNumId w:val="11"/>
  </w:num>
  <w:num w:numId="38">
    <w:abstractNumId w:val="15"/>
  </w:num>
  <w:num w:numId="39">
    <w:abstractNumId w:val="14"/>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0"/>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hyphenationZone w:val="425"/>
  <w:evenAndOddHeaders/>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B99"/>
    <w:rsid w:val="00013841"/>
    <w:rsid w:val="00017F94"/>
    <w:rsid w:val="00023842"/>
    <w:rsid w:val="000334F9"/>
    <w:rsid w:val="000510B7"/>
    <w:rsid w:val="0007796D"/>
    <w:rsid w:val="00077F67"/>
    <w:rsid w:val="00093F02"/>
    <w:rsid w:val="000B7790"/>
    <w:rsid w:val="000C2225"/>
    <w:rsid w:val="000D561E"/>
    <w:rsid w:val="00111F2F"/>
    <w:rsid w:val="00114551"/>
    <w:rsid w:val="0014365E"/>
    <w:rsid w:val="00155CCB"/>
    <w:rsid w:val="00176178"/>
    <w:rsid w:val="001935D9"/>
    <w:rsid w:val="001B34DE"/>
    <w:rsid w:val="001B379B"/>
    <w:rsid w:val="001B6BD1"/>
    <w:rsid w:val="001F525A"/>
    <w:rsid w:val="00212C81"/>
    <w:rsid w:val="0022209B"/>
    <w:rsid w:val="00223272"/>
    <w:rsid w:val="00237055"/>
    <w:rsid w:val="0024779E"/>
    <w:rsid w:val="00257934"/>
    <w:rsid w:val="002936E2"/>
    <w:rsid w:val="002A03A8"/>
    <w:rsid w:val="002A3D81"/>
    <w:rsid w:val="00307E80"/>
    <w:rsid w:val="0032225A"/>
    <w:rsid w:val="003402F1"/>
    <w:rsid w:val="00351332"/>
    <w:rsid w:val="00397A17"/>
    <w:rsid w:val="003A06E3"/>
    <w:rsid w:val="003A6E96"/>
    <w:rsid w:val="003E4B99"/>
    <w:rsid w:val="00413E3B"/>
    <w:rsid w:val="00415BEC"/>
    <w:rsid w:val="00432F60"/>
    <w:rsid w:val="00446FE5"/>
    <w:rsid w:val="00452396"/>
    <w:rsid w:val="004A000B"/>
    <w:rsid w:val="004A7BDA"/>
    <w:rsid w:val="004E07C4"/>
    <w:rsid w:val="00533AA3"/>
    <w:rsid w:val="0054427B"/>
    <w:rsid w:val="005505B7"/>
    <w:rsid w:val="00573BE5"/>
    <w:rsid w:val="00586ED3"/>
    <w:rsid w:val="00591C1A"/>
    <w:rsid w:val="00596AA9"/>
    <w:rsid w:val="005E53A7"/>
    <w:rsid w:val="005F4F96"/>
    <w:rsid w:val="00657913"/>
    <w:rsid w:val="00691F39"/>
    <w:rsid w:val="006E12C7"/>
    <w:rsid w:val="006F7144"/>
    <w:rsid w:val="006F71EA"/>
    <w:rsid w:val="0071601D"/>
    <w:rsid w:val="00733463"/>
    <w:rsid w:val="00733DFF"/>
    <w:rsid w:val="00747C26"/>
    <w:rsid w:val="00770554"/>
    <w:rsid w:val="00785863"/>
    <w:rsid w:val="00793E85"/>
    <w:rsid w:val="007A611C"/>
    <w:rsid w:val="007A62E6"/>
    <w:rsid w:val="007B7748"/>
    <w:rsid w:val="007E2032"/>
    <w:rsid w:val="007E3173"/>
    <w:rsid w:val="00802C97"/>
    <w:rsid w:val="0080684C"/>
    <w:rsid w:val="00807F57"/>
    <w:rsid w:val="008178D8"/>
    <w:rsid w:val="00850A9E"/>
    <w:rsid w:val="008560DB"/>
    <w:rsid w:val="00857EFE"/>
    <w:rsid w:val="008709E3"/>
    <w:rsid w:val="00871C75"/>
    <w:rsid w:val="008776DC"/>
    <w:rsid w:val="008A33BC"/>
    <w:rsid w:val="008B5825"/>
    <w:rsid w:val="008D5227"/>
    <w:rsid w:val="008E1FD9"/>
    <w:rsid w:val="00923342"/>
    <w:rsid w:val="009323E1"/>
    <w:rsid w:val="009349C7"/>
    <w:rsid w:val="009367DE"/>
    <w:rsid w:val="0097022A"/>
    <w:rsid w:val="009705C8"/>
    <w:rsid w:val="00974C94"/>
    <w:rsid w:val="009B1E6C"/>
    <w:rsid w:val="009B3703"/>
    <w:rsid w:val="009E2C6A"/>
    <w:rsid w:val="00A33F24"/>
    <w:rsid w:val="00A9151D"/>
    <w:rsid w:val="00AA6A35"/>
    <w:rsid w:val="00AB1971"/>
    <w:rsid w:val="00AC3823"/>
    <w:rsid w:val="00AE1E37"/>
    <w:rsid w:val="00AE323C"/>
    <w:rsid w:val="00AF0F00"/>
    <w:rsid w:val="00B00181"/>
    <w:rsid w:val="00B41A0D"/>
    <w:rsid w:val="00B5354E"/>
    <w:rsid w:val="00B765F7"/>
    <w:rsid w:val="00B76AFD"/>
    <w:rsid w:val="00BA0CA9"/>
    <w:rsid w:val="00BF3D7D"/>
    <w:rsid w:val="00C01ACF"/>
    <w:rsid w:val="00C02897"/>
    <w:rsid w:val="00C539A5"/>
    <w:rsid w:val="00C60A21"/>
    <w:rsid w:val="00CA7BC4"/>
    <w:rsid w:val="00CF0FE9"/>
    <w:rsid w:val="00D05667"/>
    <w:rsid w:val="00D26711"/>
    <w:rsid w:val="00D3439C"/>
    <w:rsid w:val="00D50C82"/>
    <w:rsid w:val="00D83177"/>
    <w:rsid w:val="00D84697"/>
    <w:rsid w:val="00D86D3B"/>
    <w:rsid w:val="00DB1831"/>
    <w:rsid w:val="00DC2E75"/>
    <w:rsid w:val="00DD3BFD"/>
    <w:rsid w:val="00DF0154"/>
    <w:rsid w:val="00DF6678"/>
    <w:rsid w:val="00E13EB8"/>
    <w:rsid w:val="00E140E2"/>
    <w:rsid w:val="00E51363"/>
    <w:rsid w:val="00E651D8"/>
    <w:rsid w:val="00E768FE"/>
    <w:rsid w:val="00E85C42"/>
    <w:rsid w:val="00EB6875"/>
    <w:rsid w:val="00EC30D5"/>
    <w:rsid w:val="00ED12AF"/>
    <w:rsid w:val="00EE1BD4"/>
    <w:rsid w:val="00F06383"/>
    <w:rsid w:val="00F12152"/>
    <w:rsid w:val="00F16F30"/>
    <w:rsid w:val="00F47FA7"/>
    <w:rsid w:val="00F660DF"/>
    <w:rsid w:val="00F66719"/>
    <w:rsid w:val="00F95616"/>
    <w:rsid w:val="00F95C08"/>
    <w:rsid w:val="00FA441F"/>
    <w:rsid w:val="00FD57A3"/>
    <w:rsid w:val="00FE6E7F"/>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16 Point Car Car,Superscript 6 Point Car Car,BVI fnr Car Char Char Car Car,BVI fnr Car Car Car Char Char Car Car,BVI fnr Car Car Char Char Car Car,BVI fnr Car Car Car Car Car Char Char Car Car,Char Char Char Char Car Char"/>
    <w:basedOn w:val="Policepardfaut"/>
    <w:link w:val="16PointCar"/>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16PointCar">
    <w:name w:val="16 Point Car"/>
    <w:aliases w:val="Superscript 6 Point Car,BVI fnr Car Char Char Car,BVI fnr Car Car Car Char Char Car,BVI fnr Car Car Char Char Car,BVI fnr Car Car Car Car Car Char Char Car,BVI fnr Car Car Car Car Char Car Car Char Char Car Car"/>
    <w:basedOn w:val="Normal"/>
    <w:link w:val="Appelnotedebasdep"/>
    <w:rsid w:val="00785863"/>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character" w:customStyle="1" w:styleId="SingleTxtGCar">
    <w:name w:val="_ Single Txt_G Car"/>
    <w:link w:val="SingleTxtG"/>
    <w:rsid w:val="00785863"/>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unhideWhenUsed/>
    <w:rsid w:val="00F06383"/>
    <w:rPr>
      <w:sz w:val="16"/>
      <w:szCs w:val="16"/>
    </w:rPr>
  </w:style>
  <w:style w:type="paragraph" w:styleId="Commentaire">
    <w:name w:val="annotation text"/>
    <w:basedOn w:val="Normal"/>
    <w:link w:val="CommentaireCar"/>
    <w:unhideWhenUsed/>
    <w:rsid w:val="00F06383"/>
    <w:pPr>
      <w:spacing w:line="240" w:lineRule="auto"/>
    </w:pPr>
  </w:style>
  <w:style w:type="character" w:customStyle="1" w:styleId="CommentaireCar">
    <w:name w:val="Commentaire Car"/>
    <w:basedOn w:val="Policepardfaut"/>
    <w:link w:val="Commentaire"/>
    <w:rsid w:val="00F06383"/>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F06383"/>
    <w:rPr>
      <w:b/>
      <w:bCs/>
    </w:rPr>
  </w:style>
  <w:style w:type="character" w:customStyle="1" w:styleId="ObjetducommentaireCar">
    <w:name w:val="Objet du commentaire Car"/>
    <w:basedOn w:val="CommentaireCar"/>
    <w:link w:val="Objetducommentaire"/>
    <w:uiPriority w:val="99"/>
    <w:semiHidden/>
    <w:rsid w:val="00F06383"/>
    <w:rPr>
      <w:rFonts w:ascii="Times New Roman" w:eastAsiaTheme="minorHAnsi" w:hAnsi="Times New Roman" w:cs="Times New Roman"/>
      <w:b/>
      <w:bCs/>
      <w:sz w:val="20"/>
      <w:szCs w:val="20"/>
      <w:lang w:eastAsia="en-US"/>
    </w:rPr>
  </w:style>
  <w:style w:type="character" w:customStyle="1" w:styleId="SingleTxtGChar">
    <w:name w:val="_ Single Txt_G Char"/>
    <w:locked/>
    <w:rsid w:val="003A06E3"/>
    <w:rPr>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annotation text" w:uiPriority="0"/>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reference" w:uiPriority="0" w:qFormat="1"/>
    <w:lsdException w:name="endnote text" w:uiPriority="0" w:qFormat="1"/>
    <w:lsdException w:name="Title" w:uiPriority="10" w:unhideWhenUsed="0" w:qFormat="1"/>
    <w:lsdException w:name="Default Paragraph Font" w:uiPriority="1"/>
    <w:lsdException w:name="Subtitle" w:uiPriority="11" w:unhideWhenUsed="0" w:qFormat="1"/>
    <w:lsdException w:name="Hyperlink" w:uiPriority="0"/>
    <w:lsdException w:name="FollowedHyperlink" w:uiPriority="0"/>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A9151D"/>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A9151D"/>
    <w:pPr>
      <w:keepNext/>
      <w:keepLines/>
      <w:spacing w:after="0" w:line="240" w:lineRule="auto"/>
      <w:ind w:right="0"/>
      <w:jc w:val="left"/>
      <w:outlineLvl w:val="0"/>
    </w:pPr>
  </w:style>
  <w:style w:type="paragraph" w:styleId="Titre2">
    <w:name w:val="heading 2"/>
    <w:basedOn w:val="Normal"/>
    <w:next w:val="Normal"/>
    <w:link w:val="Titre2Car"/>
    <w:semiHidden/>
    <w:qFormat/>
    <w:rsid w:val="00A9151D"/>
    <w:pPr>
      <w:outlineLvl w:val="1"/>
    </w:pPr>
  </w:style>
  <w:style w:type="paragraph" w:styleId="Titre3">
    <w:name w:val="heading 3"/>
    <w:basedOn w:val="Normal"/>
    <w:next w:val="Normal"/>
    <w:link w:val="Titre3Car"/>
    <w:semiHidden/>
    <w:qFormat/>
    <w:rsid w:val="00793E85"/>
    <w:pPr>
      <w:outlineLvl w:val="2"/>
    </w:pPr>
  </w:style>
  <w:style w:type="paragraph" w:styleId="Titre4">
    <w:name w:val="heading 4"/>
    <w:basedOn w:val="Normal"/>
    <w:next w:val="Normal"/>
    <w:link w:val="Titre4Car"/>
    <w:semiHidden/>
    <w:qFormat/>
    <w:rsid w:val="00793E85"/>
    <w:pPr>
      <w:outlineLvl w:val="3"/>
    </w:pPr>
  </w:style>
  <w:style w:type="paragraph" w:styleId="Titre5">
    <w:name w:val="heading 5"/>
    <w:basedOn w:val="Normal"/>
    <w:next w:val="Normal"/>
    <w:link w:val="Titre5Car"/>
    <w:semiHidden/>
    <w:qFormat/>
    <w:rsid w:val="00793E85"/>
    <w:pPr>
      <w:outlineLvl w:val="4"/>
    </w:pPr>
  </w:style>
  <w:style w:type="paragraph" w:styleId="Titre6">
    <w:name w:val="heading 6"/>
    <w:basedOn w:val="Normal"/>
    <w:next w:val="Normal"/>
    <w:link w:val="Titre6Car"/>
    <w:semiHidden/>
    <w:qFormat/>
    <w:rsid w:val="00793E85"/>
    <w:pPr>
      <w:outlineLvl w:val="5"/>
    </w:pPr>
  </w:style>
  <w:style w:type="paragraph" w:styleId="Titre7">
    <w:name w:val="heading 7"/>
    <w:basedOn w:val="Normal"/>
    <w:next w:val="Normal"/>
    <w:link w:val="Titre7Car"/>
    <w:semiHidden/>
    <w:qFormat/>
    <w:rsid w:val="00793E85"/>
    <w:pPr>
      <w:outlineLvl w:val="6"/>
    </w:pPr>
  </w:style>
  <w:style w:type="paragraph" w:styleId="Titre8">
    <w:name w:val="heading 8"/>
    <w:basedOn w:val="Normal"/>
    <w:next w:val="Normal"/>
    <w:link w:val="Titre8Car"/>
    <w:semiHidden/>
    <w:qFormat/>
    <w:rsid w:val="00793E85"/>
    <w:pPr>
      <w:outlineLvl w:val="7"/>
    </w:pPr>
  </w:style>
  <w:style w:type="paragraph" w:styleId="Titre9">
    <w:name w:val="heading 9"/>
    <w:basedOn w:val="Normal"/>
    <w:next w:val="Normal"/>
    <w:link w:val="Titre9Car"/>
    <w:semiHidden/>
    <w:qFormat/>
    <w:rsid w:val="00793E85"/>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A9151D"/>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A9151D"/>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A9151D"/>
    <w:pPr>
      <w:spacing w:line="240" w:lineRule="auto"/>
    </w:pPr>
    <w:rPr>
      <w:sz w:val="16"/>
    </w:rPr>
  </w:style>
  <w:style w:type="character" w:customStyle="1" w:styleId="PieddepageCar">
    <w:name w:val="Pied de page Car"/>
    <w:aliases w:val="3_G Car"/>
    <w:basedOn w:val="Policepardfaut"/>
    <w:link w:val="Pieddepage"/>
    <w:rsid w:val="00A9151D"/>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A9151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A9151D"/>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A9151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A9151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A9151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A9151D"/>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A9151D"/>
    <w:pPr>
      <w:spacing w:after="120"/>
      <w:ind w:left="1134" w:right="1134"/>
      <w:jc w:val="both"/>
    </w:pPr>
  </w:style>
  <w:style w:type="paragraph" w:customStyle="1" w:styleId="SLG">
    <w:name w:val="__S_L_G"/>
    <w:basedOn w:val="Normal"/>
    <w:next w:val="Normal"/>
    <w:rsid w:val="00A9151D"/>
    <w:pPr>
      <w:keepNext/>
      <w:keepLines/>
      <w:spacing w:before="240" w:after="240" w:line="580" w:lineRule="exact"/>
      <w:ind w:left="1134" w:right="1134"/>
    </w:pPr>
    <w:rPr>
      <w:b/>
      <w:sz w:val="56"/>
    </w:rPr>
  </w:style>
  <w:style w:type="paragraph" w:customStyle="1" w:styleId="SMG">
    <w:name w:val="__S_M_G"/>
    <w:basedOn w:val="Normal"/>
    <w:next w:val="Normal"/>
    <w:rsid w:val="00A9151D"/>
    <w:pPr>
      <w:keepNext/>
      <w:keepLines/>
      <w:spacing w:before="240" w:after="240" w:line="420" w:lineRule="exact"/>
      <w:ind w:left="1134" w:right="1134"/>
    </w:pPr>
    <w:rPr>
      <w:b/>
      <w:sz w:val="40"/>
    </w:rPr>
  </w:style>
  <w:style w:type="paragraph" w:customStyle="1" w:styleId="SSG">
    <w:name w:val="__S_S_G"/>
    <w:basedOn w:val="Normal"/>
    <w:next w:val="Normal"/>
    <w:rsid w:val="00A9151D"/>
    <w:pPr>
      <w:keepNext/>
      <w:keepLines/>
      <w:spacing w:before="240" w:after="240" w:line="300" w:lineRule="exact"/>
      <w:ind w:left="1134" w:right="1134"/>
    </w:pPr>
    <w:rPr>
      <w:b/>
      <w:sz w:val="28"/>
    </w:rPr>
  </w:style>
  <w:style w:type="paragraph" w:customStyle="1" w:styleId="XLargeG">
    <w:name w:val="__XLarge_G"/>
    <w:basedOn w:val="Normal"/>
    <w:next w:val="Normal"/>
    <w:rsid w:val="00A9151D"/>
    <w:pPr>
      <w:keepNext/>
      <w:keepLines/>
      <w:spacing w:before="240" w:after="240" w:line="420" w:lineRule="exact"/>
      <w:ind w:left="1134" w:right="1134"/>
    </w:pPr>
    <w:rPr>
      <w:b/>
      <w:sz w:val="40"/>
    </w:rPr>
  </w:style>
  <w:style w:type="paragraph" w:customStyle="1" w:styleId="Bullet1G">
    <w:name w:val="_Bullet 1_G"/>
    <w:basedOn w:val="Normal"/>
    <w:qFormat/>
    <w:rsid w:val="00A9151D"/>
    <w:pPr>
      <w:numPr>
        <w:numId w:val="14"/>
      </w:numPr>
      <w:spacing w:after="120"/>
      <w:ind w:right="1134"/>
      <w:jc w:val="both"/>
    </w:pPr>
  </w:style>
  <w:style w:type="paragraph" w:customStyle="1" w:styleId="Bullet2G">
    <w:name w:val="_Bullet 2_G"/>
    <w:basedOn w:val="Normal"/>
    <w:qFormat/>
    <w:rsid w:val="00A9151D"/>
    <w:pPr>
      <w:numPr>
        <w:numId w:val="15"/>
      </w:numPr>
      <w:spacing w:after="120"/>
      <w:ind w:right="1134"/>
      <w:jc w:val="both"/>
    </w:pPr>
  </w:style>
  <w:style w:type="paragraph" w:customStyle="1" w:styleId="ParNoG">
    <w:name w:val="_ParNo_G"/>
    <w:basedOn w:val="Normal"/>
    <w:qFormat/>
    <w:rsid w:val="00A9151D"/>
    <w:pPr>
      <w:numPr>
        <w:numId w:val="16"/>
      </w:numPr>
      <w:spacing w:after="120"/>
      <w:ind w:right="1134"/>
      <w:jc w:val="both"/>
    </w:pPr>
  </w:style>
  <w:style w:type="character" w:styleId="Appelnotedebasdep">
    <w:name w:val="footnote reference"/>
    <w:aliases w:val="4_G,16 Point Car Car,Superscript 6 Point Car Car,BVI fnr Car Char Char Car Car,BVI fnr Car Car Car Char Char Car Car,BVI fnr Car Car Char Char Car Car,BVI fnr Car Car Car Car Car Char Char Car Car,Char Char Char Char Car Char"/>
    <w:basedOn w:val="Policepardfaut"/>
    <w:link w:val="16PointCar"/>
    <w:qFormat/>
    <w:rsid w:val="00A9151D"/>
    <w:rPr>
      <w:rFonts w:ascii="Times New Roman" w:hAnsi="Times New Roman"/>
      <w:sz w:val="18"/>
      <w:vertAlign w:val="superscript"/>
      <w:lang w:val="fr-CH"/>
    </w:rPr>
  </w:style>
  <w:style w:type="character" w:styleId="Appeldenotedefin">
    <w:name w:val="endnote reference"/>
    <w:aliases w:val="1_G"/>
    <w:basedOn w:val="Appelnotedebasdep"/>
    <w:qFormat/>
    <w:rsid w:val="00A9151D"/>
    <w:rPr>
      <w:rFonts w:ascii="Times New Roman" w:hAnsi="Times New Roman"/>
      <w:sz w:val="18"/>
      <w:vertAlign w:val="superscript"/>
      <w:lang w:val="fr-CH"/>
    </w:rPr>
  </w:style>
  <w:style w:type="table" w:styleId="Grilledutableau">
    <w:name w:val="Table Grid"/>
    <w:basedOn w:val="TableauNormal"/>
    <w:rsid w:val="00A9151D"/>
    <w:pPr>
      <w:suppressAutoHyphens/>
      <w:spacing w:after="0" w:line="240" w:lineRule="atLeast"/>
    </w:pPr>
    <w:rPr>
      <w:rFonts w:ascii="Times New Roman" w:eastAsiaTheme="minorHAnsi" w:hAnsi="Times New Roman" w:cs="Times New Roman"/>
      <w:sz w:val="20"/>
      <w:szCs w:val="20"/>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Lienhypertexte">
    <w:name w:val="Hyperlink"/>
    <w:basedOn w:val="Policepardfaut"/>
    <w:unhideWhenUsed/>
    <w:rsid w:val="00A9151D"/>
    <w:rPr>
      <w:color w:val="0000FF"/>
      <w:u w:val="none"/>
    </w:rPr>
  </w:style>
  <w:style w:type="character" w:styleId="Lienhypertextesuivivisit">
    <w:name w:val="FollowedHyperlink"/>
    <w:basedOn w:val="Policepardfaut"/>
    <w:unhideWhenUsed/>
    <w:rsid w:val="00A9151D"/>
    <w:rPr>
      <w:color w:val="0000FF"/>
      <w:u w:val="none"/>
    </w:rPr>
  </w:style>
  <w:style w:type="paragraph" w:styleId="Notedebasdepage">
    <w:name w:val="footnote text"/>
    <w:aliases w:val="5_G"/>
    <w:basedOn w:val="Normal"/>
    <w:link w:val="NotedebasdepageCar"/>
    <w:qFormat/>
    <w:rsid w:val="00A9151D"/>
    <w:pPr>
      <w:tabs>
        <w:tab w:val="right" w:pos="1021"/>
      </w:tabs>
      <w:spacing w:line="220" w:lineRule="exact"/>
      <w:ind w:left="1134" w:right="1134" w:hanging="1134"/>
    </w:pPr>
    <w:rPr>
      <w:sz w:val="18"/>
    </w:rPr>
  </w:style>
  <w:style w:type="character" w:customStyle="1" w:styleId="NotedebasdepageCar">
    <w:name w:val="Note de bas de page Car"/>
    <w:aliases w:val="5_G Car"/>
    <w:basedOn w:val="Policepardfaut"/>
    <w:link w:val="Notedebasdepage"/>
    <w:rsid w:val="00A9151D"/>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A9151D"/>
  </w:style>
  <w:style w:type="character" w:customStyle="1" w:styleId="NotedefinCar">
    <w:name w:val="Note de fin Car"/>
    <w:aliases w:val="2_G Car"/>
    <w:basedOn w:val="Policepardfaut"/>
    <w:link w:val="Notedefin"/>
    <w:rsid w:val="00A9151D"/>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A9151D"/>
    <w:rPr>
      <w:rFonts w:ascii="Times New Roman" w:hAnsi="Times New Roman"/>
      <w:b/>
      <w:sz w:val="18"/>
      <w:lang w:val="fr-CH"/>
    </w:rPr>
  </w:style>
  <w:style w:type="character" w:customStyle="1" w:styleId="Titre1Car">
    <w:name w:val="Titre 1 Car"/>
    <w:aliases w:val="Table_G Car"/>
    <w:basedOn w:val="Policepardfaut"/>
    <w:link w:val="Titre1"/>
    <w:rsid w:val="00A9151D"/>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A9151D"/>
    <w:rPr>
      <w:rFonts w:ascii="Times New Roman" w:eastAsiaTheme="minorHAnsi" w:hAnsi="Times New Roman" w:cs="Times New Roman"/>
      <w:sz w:val="20"/>
      <w:szCs w:val="20"/>
      <w:lang w:eastAsia="en-US"/>
    </w:rPr>
  </w:style>
  <w:style w:type="character" w:customStyle="1" w:styleId="Titre3Car">
    <w:name w:val="Titre 3 Car"/>
    <w:basedOn w:val="Policepardfaut"/>
    <w:link w:val="Titre3"/>
    <w:semiHidden/>
    <w:rsid w:val="00793E85"/>
    <w:rPr>
      <w:rFonts w:ascii="Times New Roman" w:hAnsi="Times New Roman" w:cs="Times New Roman"/>
      <w:sz w:val="20"/>
      <w:szCs w:val="20"/>
      <w:lang w:eastAsia="en-US"/>
    </w:rPr>
  </w:style>
  <w:style w:type="character" w:customStyle="1" w:styleId="Titre4Car">
    <w:name w:val="Titre 4 Car"/>
    <w:basedOn w:val="Policepardfaut"/>
    <w:link w:val="Titre4"/>
    <w:semiHidden/>
    <w:rsid w:val="00793E85"/>
    <w:rPr>
      <w:rFonts w:ascii="Times New Roman" w:hAnsi="Times New Roman" w:cs="Times New Roman"/>
      <w:sz w:val="20"/>
      <w:szCs w:val="20"/>
      <w:lang w:eastAsia="en-US"/>
    </w:rPr>
  </w:style>
  <w:style w:type="character" w:customStyle="1" w:styleId="Titre5Car">
    <w:name w:val="Titre 5 Car"/>
    <w:basedOn w:val="Policepardfaut"/>
    <w:link w:val="Titre5"/>
    <w:semiHidden/>
    <w:rsid w:val="00793E85"/>
    <w:rPr>
      <w:rFonts w:ascii="Times New Roman" w:hAnsi="Times New Roman" w:cs="Times New Roman"/>
      <w:sz w:val="20"/>
      <w:szCs w:val="20"/>
      <w:lang w:eastAsia="en-US"/>
    </w:rPr>
  </w:style>
  <w:style w:type="character" w:customStyle="1" w:styleId="Titre6Car">
    <w:name w:val="Titre 6 Car"/>
    <w:basedOn w:val="Policepardfaut"/>
    <w:link w:val="Titre6"/>
    <w:semiHidden/>
    <w:rsid w:val="00793E85"/>
    <w:rPr>
      <w:rFonts w:ascii="Times New Roman" w:hAnsi="Times New Roman" w:cs="Times New Roman"/>
      <w:sz w:val="20"/>
      <w:szCs w:val="20"/>
      <w:lang w:eastAsia="en-US"/>
    </w:rPr>
  </w:style>
  <w:style w:type="character" w:customStyle="1" w:styleId="Titre7Car">
    <w:name w:val="Titre 7 Car"/>
    <w:basedOn w:val="Policepardfaut"/>
    <w:link w:val="Titre7"/>
    <w:semiHidden/>
    <w:rsid w:val="00793E85"/>
    <w:rPr>
      <w:rFonts w:ascii="Times New Roman" w:hAnsi="Times New Roman" w:cs="Times New Roman"/>
      <w:sz w:val="20"/>
      <w:szCs w:val="20"/>
      <w:lang w:eastAsia="en-US"/>
    </w:rPr>
  </w:style>
  <w:style w:type="character" w:customStyle="1" w:styleId="Titre8Car">
    <w:name w:val="Titre 8 Car"/>
    <w:basedOn w:val="Policepardfaut"/>
    <w:link w:val="Titre8"/>
    <w:semiHidden/>
    <w:rsid w:val="00793E85"/>
    <w:rPr>
      <w:rFonts w:ascii="Times New Roman" w:hAnsi="Times New Roman" w:cs="Times New Roman"/>
      <w:sz w:val="20"/>
      <w:szCs w:val="20"/>
      <w:lang w:eastAsia="en-US"/>
    </w:rPr>
  </w:style>
  <w:style w:type="character" w:customStyle="1" w:styleId="Titre9Car">
    <w:name w:val="Titre 9 Car"/>
    <w:basedOn w:val="Policepardfaut"/>
    <w:link w:val="Titre9"/>
    <w:semiHidden/>
    <w:rsid w:val="00793E85"/>
    <w:rPr>
      <w:rFonts w:ascii="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793E8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93E85"/>
    <w:rPr>
      <w:rFonts w:ascii="Tahoma" w:hAnsi="Tahoma" w:cs="Tahoma"/>
      <w:sz w:val="16"/>
      <w:szCs w:val="16"/>
      <w:lang w:eastAsia="en-US"/>
    </w:rPr>
  </w:style>
  <w:style w:type="character" w:customStyle="1" w:styleId="HChGChar">
    <w:name w:val="_ H _Ch_G Char"/>
    <w:link w:val="HChG"/>
    <w:locked/>
    <w:rsid w:val="00793E85"/>
    <w:rPr>
      <w:rFonts w:ascii="Times New Roman" w:eastAsiaTheme="minorHAnsi" w:hAnsi="Times New Roman" w:cs="Times New Roman"/>
      <w:b/>
      <w:sz w:val="28"/>
      <w:szCs w:val="20"/>
      <w:lang w:eastAsia="en-US"/>
    </w:rPr>
  </w:style>
  <w:style w:type="character" w:customStyle="1" w:styleId="H1GChar">
    <w:name w:val="_ H_1_G Char"/>
    <w:link w:val="H1G"/>
    <w:locked/>
    <w:rsid w:val="00793E85"/>
    <w:rPr>
      <w:rFonts w:ascii="Times New Roman" w:eastAsiaTheme="minorHAnsi" w:hAnsi="Times New Roman" w:cs="Times New Roman"/>
      <w:b/>
      <w:sz w:val="24"/>
      <w:szCs w:val="20"/>
      <w:lang w:eastAsia="en-US"/>
    </w:rPr>
  </w:style>
  <w:style w:type="character" w:customStyle="1" w:styleId="H23GChar">
    <w:name w:val="_ H_2/3_G Char"/>
    <w:link w:val="H23G"/>
    <w:locked/>
    <w:rsid w:val="00793E85"/>
    <w:rPr>
      <w:rFonts w:ascii="Times New Roman" w:eastAsiaTheme="minorHAnsi" w:hAnsi="Times New Roman" w:cs="Times New Roman"/>
      <w:b/>
      <w:sz w:val="20"/>
      <w:szCs w:val="20"/>
      <w:lang w:eastAsia="en-US"/>
    </w:rPr>
  </w:style>
  <w:style w:type="paragraph" w:customStyle="1" w:styleId="16PointCar">
    <w:name w:val="16 Point Car"/>
    <w:aliases w:val="Superscript 6 Point Car,BVI fnr Car Char Char Car,BVI fnr Car Car Car Char Char Car,BVI fnr Car Car Char Char Car,BVI fnr Car Car Car Car Car Char Char Car,BVI fnr Car Car Car Car Char Car Car Char Char Car Car"/>
    <w:basedOn w:val="Normal"/>
    <w:link w:val="Appelnotedebasdep"/>
    <w:rsid w:val="00785863"/>
    <w:pPr>
      <w:suppressAutoHyphens w:val="0"/>
      <w:kinsoku/>
      <w:overflowPunct/>
      <w:autoSpaceDE/>
      <w:autoSpaceDN/>
      <w:adjustRightInd/>
      <w:snapToGrid/>
      <w:spacing w:after="160" w:line="240" w:lineRule="exact"/>
    </w:pPr>
    <w:rPr>
      <w:rFonts w:eastAsia="Times New Roman" w:cstheme="minorBidi"/>
      <w:sz w:val="18"/>
      <w:szCs w:val="22"/>
      <w:vertAlign w:val="superscript"/>
      <w:lang w:eastAsia="zh-CN"/>
    </w:rPr>
  </w:style>
  <w:style w:type="character" w:customStyle="1" w:styleId="SingleTxtGCar">
    <w:name w:val="_ Single Txt_G Car"/>
    <w:link w:val="SingleTxtG"/>
    <w:rsid w:val="00785863"/>
    <w:rPr>
      <w:rFonts w:ascii="Times New Roman" w:eastAsiaTheme="minorHAnsi" w:hAnsi="Times New Roman" w:cs="Times New Roman"/>
      <w:sz w:val="20"/>
      <w:szCs w:val="20"/>
      <w:lang w:eastAsia="en-US"/>
    </w:rPr>
  </w:style>
  <w:style w:type="character" w:styleId="Marquedecommentaire">
    <w:name w:val="annotation reference"/>
    <w:basedOn w:val="Policepardfaut"/>
    <w:uiPriority w:val="99"/>
    <w:unhideWhenUsed/>
    <w:rsid w:val="00F06383"/>
    <w:rPr>
      <w:sz w:val="16"/>
      <w:szCs w:val="16"/>
    </w:rPr>
  </w:style>
  <w:style w:type="paragraph" w:styleId="Commentaire">
    <w:name w:val="annotation text"/>
    <w:basedOn w:val="Normal"/>
    <w:link w:val="CommentaireCar"/>
    <w:unhideWhenUsed/>
    <w:rsid w:val="00F06383"/>
    <w:pPr>
      <w:spacing w:line="240" w:lineRule="auto"/>
    </w:pPr>
  </w:style>
  <w:style w:type="character" w:customStyle="1" w:styleId="CommentaireCar">
    <w:name w:val="Commentaire Car"/>
    <w:basedOn w:val="Policepardfaut"/>
    <w:link w:val="Commentaire"/>
    <w:rsid w:val="00F06383"/>
    <w:rPr>
      <w:rFonts w:ascii="Times New Roman" w:eastAsiaTheme="minorHAnsi" w:hAnsi="Times New Roman" w:cs="Times New Roman"/>
      <w:sz w:val="20"/>
      <w:szCs w:val="20"/>
      <w:lang w:eastAsia="en-US"/>
    </w:rPr>
  </w:style>
  <w:style w:type="paragraph" w:styleId="Objetducommentaire">
    <w:name w:val="annotation subject"/>
    <w:basedOn w:val="Commentaire"/>
    <w:next w:val="Commentaire"/>
    <w:link w:val="ObjetducommentaireCar"/>
    <w:uiPriority w:val="99"/>
    <w:semiHidden/>
    <w:unhideWhenUsed/>
    <w:rsid w:val="00F06383"/>
    <w:rPr>
      <w:b/>
      <w:bCs/>
    </w:rPr>
  </w:style>
  <w:style w:type="character" w:customStyle="1" w:styleId="ObjetducommentaireCar">
    <w:name w:val="Objet du commentaire Car"/>
    <w:basedOn w:val="CommentaireCar"/>
    <w:link w:val="Objetducommentaire"/>
    <w:uiPriority w:val="99"/>
    <w:semiHidden/>
    <w:rsid w:val="00F06383"/>
    <w:rPr>
      <w:rFonts w:ascii="Times New Roman" w:eastAsiaTheme="minorHAnsi" w:hAnsi="Times New Roman" w:cs="Times New Roman"/>
      <w:b/>
      <w:bCs/>
      <w:sz w:val="20"/>
      <w:szCs w:val="20"/>
      <w:lang w:eastAsia="en-US"/>
    </w:rPr>
  </w:style>
  <w:style w:type="character" w:customStyle="1" w:styleId="SingleTxtGChar">
    <w:name w:val="_ Single Txt_G Char"/>
    <w:locked/>
    <w:rsid w:val="003A06E3"/>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Templat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CF0FDB-6AA5-46EC-8E4E-B15B507B2E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F51790A-1CB2-4C4D-8E0C-CD64EB6FCBAD}">
  <ds:schemaRefs>
    <ds:schemaRef ds:uri="http://schemas.microsoft.com/sharepoint/v3/contenttype/forms"/>
  </ds:schemaRefs>
</ds:datastoreItem>
</file>

<file path=customXml/itemProps3.xml><?xml version="1.0" encoding="utf-8"?>
<ds:datastoreItem xmlns:ds="http://schemas.openxmlformats.org/officeDocument/2006/customXml" ds:itemID="{E1CA8304-6EB7-4C0D-88E2-A460E0F90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03339FC-C759-493F-8850-771267CEE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9</Pages>
  <Words>4639</Words>
  <Characters>25518</Characters>
  <Application>Microsoft Office Word</Application>
  <DocSecurity>0</DocSecurity>
  <Lines>212</Lines>
  <Paragraphs>60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CCPR/C/DNK/CO/R.6</vt:lpstr>
      <vt:lpstr>CCPR/C/DNK/CO/R.6</vt:lpstr>
    </vt:vector>
  </TitlesOfParts>
  <Company>DCM</Company>
  <LinksUpToDate>false</LinksUpToDate>
  <CharactersWithSpaces>30097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CCPR/C/DNK/CO/R.6</dc:title>
  <dc:creator>Beysard Pascale</dc:creator>
  <cp:lastModifiedBy>AISSATA BA</cp:lastModifiedBy>
  <cp:revision>2</cp:revision>
  <cp:lastPrinted>2016-07-12T12:57:00Z</cp:lastPrinted>
  <dcterms:created xsi:type="dcterms:W3CDTF">2016-07-18T11:57:00Z</dcterms:created>
  <dcterms:modified xsi:type="dcterms:W3CDTF">2016-07-18T11:57:00Z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